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2289"/>
        <w:gridCol w:w="719"/>
        <w:gridCol w:w="2039"/>
        <w:gridCol w:w="2579"/>
      </w:tblGrid>
      <w:tr w:rsidR="00561352" w:rsidRPr="00E81A99" w14:paraId="46710DFF" w14:textId="77777777" w:rsidTr="005B1F7B">
        <w:trPr>
          <w:trHeight w:val="1185"/>
          <w:jc w:val="center"/>
        </w:trPr>
        <w:tc>
          <w:tcPr>
            <w:tcW w:w="0" w:type="auto"/>
            <w:hideMark/>
          </w:tcPr>
          <w:p w14:paraId="3973455D" w14:textId="77777777" w:rsidR="00561352" w:rsidRPr="00E81A99" w:rsidRDefault="00561352" w:rsidP="005B1F7B">
            <w:pPr>
              <w:spacing w:before="40" w:line="240" w:lineRule="auto"/>
              <w:ind w:left="-80"/>
              <w:rPr>
                <w:rFonts w:ascii="Times New Roman" w:eastAsia="Times New Roman" w:hAnsi="Times New Roman" w:cs="Times New Roman"/>
                <w:sz w:val="24"/>
                <w:szCs w:val="24"/>
                <w:lang w:eastAsia="en-IE"/>
              </w:rPr>
            </w:pPr>
            <w:bookmarkStart w:id="0" w:name="_Hlk189069793"/>
            <w:r w:rsidRPr="00E81A99">
              <w:rPr>
                <w:rFonts w:ascii="Arial" w:eastAsia="Times New Roman" w:hAnsi="Arial" w:cs="Arial"/>
                <w:color w:val="000000"/>
                <w:bdr w:val="none" w:sz="0" w:space="0" w:color="auto" w:frame="1"/>
                <w:lang w:eastAsia="en-IE"/>
              </w:rPr>
              <w:drawing>
                <wp:inline distT="0" distB="0" distL="0" distR="0" wp14:anchorId="172788F1" wp14:editId="62BD3C79">
                  <wp:extent cx="1416050" cy="406400"/>
                  <wp:effectExtent l="0" t="0" r="0" b="0"/>
                  <wp:docPr id="1146866627" name="Picture 8"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406400"/>
                          </a:xfrm>
                          <a:prstGeom prst="rect">
                            <a:avLst/>
                          </a:prstGeom>
                          <a:noFill/>
                          <a:ln>
                            <a:noFill/>
                          </a:ln>
                        </pic:spPr>
                      </pic:pic>
                    </a:graphicData>
                  </a:graphic>
                </wp:inline>
              </w:drawing>
            </w:r>
          </w:p>
          <w:p w14:paraId="1638C7BF" w14:textId="77777777" w:rsidR="00561352" w:rsidRPr="00E81A99" w:rsidRDefault="00561352" w:rsidP="005B1F7B">
            <w:pPr>
              <w:spacing w:before="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1B539E64"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10C5CD45" wp14:editId="0F608558">
                  <wp:extent cx="368300" cy="368300"/>
                  <wp:effectExtent l="0" t="0" r="0" b="0"/>
                  <wp:docPr id="856476692" name="Picture 7" descr="A blue logo with a circle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circle and a glo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p w14:paraId="71F0180D"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22D78DA1"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04E83A11" wp14:editId="5C086163">
                  <wp:extent cx="1168400" cy="419100"/>
                  <wp:effectExtent l="0" t="0" r="0" b="0"/>
                  <wp:docPr id="1396332009" name="Picture 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42612A56"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24A1FEB5"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488CEA2E" wp14:editId="6100D108">
                  <wp:extent cx="1600200" cy="406400"/>
                  <wp:effectExtent l="0" t="0" r="0" b="0"/>
                  <wp:docPr id="1300782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p w14:paraId="75B53AF2"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p w14:paraId="44A343E9"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r>
      <w:tr w:rsidR="00561352" w:rsidRPr="00E81A99" w14:paraId="678771CE" w14:textId="77777777" w:rsidTr="005B1F7B">
        <w:trPr>
          <w:trHeight w:val="795"/>
          <w:jc w:val="center"/>
        </w:trPr>
        <w:tc>
          <w:tcPr>
            <w:tcW w:w="0" w:type="auto"/>
            <w:hideMark/>
          </w:tcPr>
          <w:p w14:paraId="7A32CCFF" w14:textId="77777777" w:rsidR="00561352" w:rsidRPr="00E81A99" w:rsidRDefault="00561352" w:rsidP="005B1F7B">
            <w:pPr>
              <w:spacing w:before="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77601671" wp14:editId="3C49D487">
                  <wp:extent cx="1397000" cy="298450"/>
                  <wp:effectExtent l="0" t="0" r="0" b="6350"/>
                  <wp:docPr id="82992317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09EF38EB" w14:textId="77777777" w:rsidR="00561352" w:rsidRPr="00E81A99" w:rsidRDefault="00561352" w:rsidP="005B1F7B">
            <w:pPr>
              <w:spacing w:before="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3967409A"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776B1309" wp14:editId="53E1F050">
                  <wp:extent cx="419100" cy="457200"/>
                  <wp:effectExtent l="0" t="0" r="0" b="0"/>
                  <wp:docPr id="1514313554" name="Picture 3" descr="A logo of the united nations statistics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united nations statistics divis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9261462"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54E8D588"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0B73ACDA" wp14:editId="07A8055A">
                  <wp:extent cx="1250950" cy="260350"/>
                  <wp:effectExtent l="0" t="0" r="6350" b="6350"/>
                  <wp:docPr id="4828283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0" cy="260350"/>
                          </a:xfrm>
                          <a:prstGeom prst="rect">
                            <a:avLst/>
                          </a:prstGeom>
                          <a:noFill/>
                          <a:ln>
                            <a:noFill/>
                          </a:ln>
                        </pic:spPr>
                      </pic:pic>
                    </a:graphicData>
                  </a:graphic>
                </wp:inline>
              </w:drawing>
            </w:r>
          </w:p>
          <w:p w14:paraId="0354ABC2"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c>
          <w:tcPr>
            <w:tcW w:w="0" w:type="auto"/>
            <w:hideMark/>
          </w:tcPr>
          <w:p w14:paraId="624DF3C9"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sz w:val="24"/>
                <w:szCs w:val="24"/>
                <w:bdr w:val="none" w:sz="0" w:space="0" w:color="auto" w:frame="1"/>
                <w:lang w:eastAsia="en-IE"/>
              </w:rPr>
              <w:drawing>
                <wp:inline distT="0" distB="0" distL="0" distR="0" wp14:anchorId="6E04EE6C" wp14:editId="5950B120">
                  <wp:extent cx="1397000" cy="298450"/>
                  <wp:effectExtent l="0" t="0" r="0" b="6350"/>
                  <wp:docPr id="11785539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0" cy="298450"/>
                          </a:xfrm>
                          <a:prstGeom prst="rect">
                            <a:avLst/>
                          </a:prstGeom>
                          <a:noFill/>
                          <a:ln>
                            <a:noFill/>
                          </a:ln>
                        </pic:spPr>
                      </pic:pic>
                    </a:graphicData>
                  </a:graphic>
                </wp:inline>
              </w:drawing>
            </w:r>
          </w:p>
          <w:p w14:paraId="638E5CB5" w14:textId="77777777" w:rsidR="00561352" w:rsidRPr="00E81A99" w:rsidRDefault="00561352" w:rsidP="005B1F7B">
            <w:pPr>
              <w:spacing w:before="40" w:after="40" w:line="240" w:lineRule="auto"/>
              <w:ind w:left="-80"/>
              <w:rPr>
                <w:rFonts w:ascii="Times New Roman" w:eastAsia="Times New Roman" w:hAnsi="Times New Roman" w:cs="Times New Roman"/>
                <w:sz w:val="24"/>
                <w:szCs w:val="24"/>
                <w:lang w:eastAsia="en-IE"/>
              </w:rPr>
            </w:pPr>
            <w:r w:rsidRPr="00E81A99">
              <w:rPr>
                <w:rFonts w:ascii="Arial" w:eastAsia="Times New Roman" w:hAnsi="Arial" w:cs="Arial"/>
                <w:color w:val="000000"/>
                <w:lang w:eastAsia="en-IE"/>
              </w:rPr>
              <w:t> </w:t>
            </w:r>
          </w:p>
        </w:tc>
      </w:tr>
    </w:tbl>
    <w:p w14:paraId="5225D4CF" w14:textId="5470EA86" w:rsidR="00561352" w:rsidRPr="00E81A99" w:rsidRDefault="00561352" w:rsidP="00561352">
      <w:pPr>
        <w:pBdr>
          <w:bottom w:val="single" w:sz="4" w:space="1" w:color="000000"/>
        </w:pBdr>
        <w:shd w:val="clear" w:color="auto" w:fill="FFFFFF"/>
        <w:spacing w:line="240" w:lineRule="auto"/>
        <w:jc w:val="left"/>
        <w:rPr>
          <w:rFonts w:ascii="Times New Roman" w:eastAsia="Times New Roman" w:hAnsi="Times New Roman" w:cs="Times New Roman"/>
          <w:sz w:val="24"/>
          <w:szCs w:val="24"/>
          <w:lang w:eastAsia="en-IE"/>
        </w:rPr>
      </w:pPr>
    </w:p>
    <w:p w14:paraId="1061F566" w14:textId="5F9808AB" w:rsidR="00561352" w:rsidRPr="00E81A99" w:rsidRDefault="00561352" w:rsidP="00561352">
      <w:pPr>
        <w:pStyle w:val="Title"/>
        <w:jc w:val="center"/>
        <w:rPr>
          <w:rFonts w:ascii="Times New Roman" w:eastAsia="Times New Roman" w:hAnsi="Times New Roman" w:cs="Times New Roman"/>
          <w:szCs w:val="40"/>
          <w:lang w:eastAsia="en-IE"/>
        </w:rPr>
      </w:pPr>
      <w:r w:rsidRPr="00E81A99">
        <w:rPr>
          <w:rFonts w:eastAsia="Times New Roman"/>
          <w:szCs w:val="40"/>
          <w:lang w:eastAsia="en-IE"/>
        </w:rPr>
        <w:t>Global Data Facility</w:t>
      </w:r>
      <w:r w:rsidR="00C92AFE" w:rsidRPr="00E81A99">
        <w:rPr>
          <w:rFonts w:eastAsia="Times New Roman"/>
          <w:szCs w:val="40"/>
          <w:lang w:eastAsia="en-IE"/>
        </w:rPr>
        <w:t xml:space="preserve"> - </w:t>
      </w:r>
      <w:r w:rsidRPr="00E81A99">
        <w:rPr>
          <w:rFonts w:eastAsia="Times New Roman"/>
          <w:szCs w:val="40"/>
          <w:lang w:eastAsia="en-IE"/>
        </w:rPr>
        <w:t>Mobile Phone Data Program (GDF-MPD)</w:t>
      </w:r>
    </w:p>
    <w:p w14:paraId="1910089F" w14:textId="0DBB3128" w:rsidR="00561352" w:rsidRPr="00E81A99" w:rsidRDefault="00C92AFE" w:rsidP="00561352">
      <w:pPr>
        <w:pStyle w:val="Subtitle"/>
        <w:jc w:val="center"/>
        <w:rPr>
          <w:rFonts w:eastAsia="Times New Roman"/>
          <w:lang w:eastAsia="en-IE"/>
        </w:rPr>
      </w:pPr>
      <w:r w:rsidRPr="00E81A99">
        <w:rPr>
          <w:rFonts w:eastAsia="Times New Roman"/>
          <w:lang w:eastAsia="en-IE"/>
        </w:rPr>
        <w:t>Modèle de Protocole d’Accord</w:t>
      </w:r>
      <w:r w:rsidR="00DF13FD" w:rsidRPr="00E81A99">
        <w:rPr>
          <w:rFonts w:eastAsia="Times New Roman"/>
          <w:lang w:eastAsia="en-IE"/>
        </w:rPr>
        <w:t xml:space="preserve"> (</w:t>
      </w:r>
      <w:r w:rsidRPr="00E81A99">
        <w:rPr>
          <w:rFonts w:eastAsia="Times New Roman"/>
          <w:lang w:eastAsia="en-IE"/>
        </w:rPr>
        <w:t>Français</w:t>
      </w:r>
      <w:r w:rsidR="00DF13FD" w:rsidRPr="00E81A99">
        <w:rPr>
          <w:rFonts w:eastAsia="Times New Roman"/>
          <w:lang w:eastAsia="en-IE"/>
        </w:rPr>
        <w:t>)</w:t>
      </w:r>
      <w:r w:rsidR="00561352" w:rsidRPr="00E81A99">
        <w:rPr>
          <w:rFonts w:eastAsia="Times New Roman"/>
          <w:lang w:eastAsia="en-IE"/>
        </w:rPr>
        <w:t xml:space="preserve"> – </w:t>
      </w:r>
      <w:r w:rsidRPr="00E81A99">
        <w:rPr>
          <w:rFonts w:eastAsia="Times New Roman"/>
          <w:lang w:eastAsia="en-IE"/>
        </w:rPr>
        <w:t>Modèle AB</w:t>
      </w:r>
    </w:p>
    <w:p w14:paraId="6490EA22" w14:textId="4A71E48A" w:rsidR="00995801" w:rsidRPr="00E81A99" w:rsidRDefault="00C92AFE" w:rsidP="00561352">
      <w:pPr>
        <w:rPr>
          <w:lang w:eastAsia="en-IE"/>
        </w:rPr>
      </w:pPr>
      <w:r w:rsidRPr="00E81A99">
        <w:rPr>
          <w:lang w:eastAsia="en-IE"/>
        </w:rPr>
        <w:t>Ce</w:t>
      </w:r>
      <w:r w:rsidRPr="00E81A99">
        <w:rPr>
          <w:lang w:eastAsia="en-IE"/>
        </w:rPr>
        <w:t xml:space="preserve"> document fournit un modèle de </w:t>
      </w:r>
      <w:r w:rsidRPr="00E81A99">
        <w:rPr>
          <w:lang w:eastAsia="en-IE"/>
        </w:rPr>
        <w:t>P</w:t>
      </w:r>
      <w:r w:rsidRPr="00E81A99">
        <w:rPr>
          <w:lang w:eastAsia="en-IE"/>
        </w:rPr>
        <w:t>rotocole d’</w:t>
      </w:r>
      <w:r w:rsidRPr="00E81A99">
        <w:rPr>
          <w:lang w:eastAsia="en-IE"/>
        </w:rPr>
        <w:t>A</w:t>
      </w:r>
      <w:r w:rsidRPr="00E81A99">
        <w:rPr>
          <w:lang w:eastAsia="en-IE"/>
        </w:rPr>
        <w:t>ccord (</w:t>
      </w:r>
      <w:r w:rsidRPr="00E81A99">
        <w:rPr>
          <w:lang w:eastAsia="en-IE"/>
        </w:rPr>
        <w:t>PA</w:t>
      </w:r>
      <w:r w:rsidRPr="00E81A99">
        <w:rPr>
          <w:lang w:eastAsia="en-IE"/>
        </w:rPr>
        <w:t xml:space="preserve">) </w:t>
      </w:r>
      <w:r w:rsidRPr="00E81A99">
        <w:rPr>
          <w:lang w:eastAsia="en-IE"/>
        </w:rPr>
        <w:t>destiné aux</w:t>
      </w:r>
      <w:r w:rsidRPr="00E81A99">
        <w:rPr>
          <w:lang w:eastAsia="en-IE"/>
        </w:rPr>
        <w:t xml:space="preserve"> équipes opérationnelles de la Banque mondiale afin de soutenir l’élaboration de protocoles adaptés </w:t>
      </w:r>
      <w:r w:rsidRPr="00E81A99">
        <w:rPr>
          <w:lang w:eastAsia="en-IE"/>
        </w:rPr>
        <w:t>à</w:t>
      </w:r>
      <w:r w:rsidRPr="00E81A99">
        <w:rPr>
          <w:lang w:eastAsia="en-IE"/>
        </w:rPr>
        <w:t xml:space="preserve"> </w:t>
      </w:r>
      <w:r w:rsidRPr="00E81A99">
        <w:rPr>
          <w:lang w:eastAsia="en-IE"/>
        </w:rPr>
        <w:t>chaque contexte pays</w:t>
      </w:r>
      <w:r w:rsidRPr="00E81A99">
        <w:rPr>
          <w:lang w:eastAsia="en-IE"/>
        </w:rPr>
        <w:t xml:space="preserve">. Ces protocoles visent à établir une collaboration formelle entre parties prenantes concernées pour l’utilisation des données des opérateurs de téléphonie mobile (OTM) à des fins statistiques et d’aide à la décision </w:t>
      </w:r>
      <w:r w:rsidRPr="00E81A99">
        <w:rPr>
          <w:lang w:eastAsia="en-IE"/>
        </w:rPr>
        <w:t>pour les politiques publiques</w:t>
      </w:r>
      <w:r w:rsidRPr="00E81A99">
        <w:rPr>
          <w:lang w:eastAsia="en-IE"/>
        </w:rPr>
        <w:t>.</w:t>
      </w:r>
    </w:p>
    <w:p w14:paraId="545C91DB" w14:textId="5AFA70A3" w:rsidR="00561352" w:rsidRPr="00E81A99" w:rsidRDefault="00C92AFE" w:rsidP="00561352">
      <w:pPr>
        <w:rPr>
          <w:lang w:eastAsia="en-IE"/>
        </w:rPr>
      </w:pPr>
      <w:r w:rsidRPr="00E81A99">
        <w:rPr>
          <w:b/>
          <w:bCs/>
          <w:lang w:eastAsia="en-IE"/>
        </w:rPr>
        <w:t>Ce modèle est spécifiquement conçu pour les configurations dans lesquelles les données brutes des OTM</w:t>
      </w:r>
      <w:r w:rsidR="00703BCC" w:rsidRPr="00E81A99">
        <w:rPr>
          <w:b/>
          <w:bCs/>
          <w:lang w:eastAsia="en-IE"/>
        </w:rPr>
        <w:t xml:space="preserve"> (</w:t>
      </w:r>
      <w:r w:rsidRPr="00E81A99">
        <w:rPr>
          <w:b/>
          <w:bCs/>
          <w:lang w:eastAsia="en-IE"/>
        </w:rPr>
        <w:t xml:space="preserve">c’est-à-dire les données « nano » de niveau I comme les </w:t>
      </w:r>
      <w:r w:rsidRPr="00E81A99">
        <w:rPr>
          <w:b/>
          <w:bCs/>
          <w:i/>
          <w:iCs/>
          <w:lang w:eastAsia="en-IE"/>
        </w:rPr>
        <w:t xml:space="preserve">Call </w:t>
      </w:r>
      <w:proofErr w:type="spellStart"/>
      <w:r w:rsidRPr="00E81A99">
        <w:rPr>
          <w:b/>
          <w:bCs/>
          <w:i/>
          <w:iCs/>
          <w:lang w:eastAsia="en-IE"/>
        </w:rPr>
        <w:t>Detail</w:t>
      </w:r>
      <w:proofErr w:type="spellEnd"/>
      <w:r w:rsidRPr="00E81A99">
        <w:rPr>
          <w:b/>
          <w:bCs/>
          <w:i/>
          <w:iCs/>
          <w:lang w:eastAsia="en-IE"/>
        </w:rPr>
        <w:t xml:space="preserve"> Records</w:t>
      </w:r>
      <w:r w:rsidR="00703BCC" w:rsidRPr="00E81A99">
        <w:rPr>
          <w:b/>
          <w:bCs/>
          <w:lang w:eastAsia="en-IE"/>
        </w:rPr>
        <w:t>)</w:t>
      </w:r>
      <w:r w:rsidR="00995801" w:rsidRPr="00E81A99">
        <w:rPr>
          <w:b/>
          <w:bCs/>
          <w:lang w:eastAsia="en-IE"/>
        </w:rPr>
        <w:t xml:space="preserve"> </w:t>
      </w:r>
      <w:r w:rsidRPr="00E81A99">
        <w:rPr>
          <w:b/>
          <w:bCs/>
          <w:lang w:eastAsia="en-IE"/>
        </w:rPr>
        <w:t>sont stockées et traitées sur l’infrastructure des OTM, l’Institut national de la statistique (INS) ayant un accès sécurisé aux serveurs des OTM pour les traiter. Ce modèle, appelé modèle hybride (Modèle AB), présente des caractéristiques à la fois du modèle A et du modèle B : les données restent dans les locaux des OTM, mais l’INS est responsable du traitement de bout en bout</w:t>
      </w:r>
      <w:r w:rsidR="00BF58A3" w:rsidRPr="00E81A99">
        <w:rPr>
          <w:b/>
          <w:bCs/>
          <w:lang w:eastAsia="en-IE"/>
        </w:rPr>
        <w:t xml:space="preserve">. </w:t>
      </w:r>
      <w:r w:rsidRPr="00E81A99">
        <w:rPr>
          <w:lang w:eastAsia="en-IE"/>
        </w:rPr>
        <w:t>La figure 1 ci-dessous illustre l’architecture du pipeline de données proposé ainsi que les éléments institutionnels formalisés par ce modèle. En outre, ce modèle permet la participation d’un partenaire technique externe, qui peut accéder aux données de niveau I pour assister le gouvernement dans la production d’indicateurs statistiques. Comme dans le modèle A, il est également possible d’inclure des dispositions optionnelles pour favoriser la recherche et les échanges de connaissances entre les OTM, l’INS et le partenaire technique. Toutefois, toute collaboration de ce type devra faire l’objet d’un protocole d’accord distinct</w:t>
      </w:r>
      <w:r w:rsidR="00995801" w:rsidRPr="00E81A99">
        <w:rPr>
          <w:lang w:eastAsia="en-IE"/>
        </w:rPr>
        <w:t>.</w:t>
      </w:r>
      <w:r w:rsidR="00D91D50" w:rsidRPr="00E81A99">
        <w:rPr>
          <w:lang w:eastAsia="en-IE"/>
        </w:rPr>
        <w:t xml:space="preserve"> </w:t>
      </w:r>
      <w:r w:rsidRPr="00E81A99">
        <w:rPr>
          <w:lang w:eastAsia="en-IE"/>
        </w:rPr>
        <w:t xml:space="preserve">Le modèle doit toujours être adapté au contexte spécifique du pays. Il est important de noter que ce document fournit uniquement une structure générale avec les éléments clés permettant d’établir un pipeline de données robuste et durable. Tout projet de </w:t>
      </w:r>
      <w:r w:rsidRPr="00E81A99">
        <w:rPr>
          <w:lang w:eastAsia="en-IE"/>
        </w:rPr>
        <w:t>PA</w:t>
      </w:r>
      <w:r w:rsidRPr="00E81A99">
        <w:rPr>
          <w:lang w:eastAsia="en-IE"/>
        </w:rPr>
        <w:t xml:space="preserve"> élaboré à partir de ce modèle devra être examiné par les juristes des parties concernées avant signature.</w:t>
      </w:r>
    </w:p>
    <w:p w14:paraId="1FC80F07" w14:textId="3DF34FB7" w:rsidR="00995801" w:rsidRPr="00E81A99" w:rsidRDefault="00C92AFE" w:rsidP="00561352">
      <w:pPr>
        <w:rPr>
          <w:lang w:eastAsia="en-IE"/>
        </w:rPr>
      </w:pPr>
      <w:r w:rsidRPr="00E81A99">
        <w:rPr>
          <w:lang w:eastAsia="en-IE"/>
        </w:rPr>
        <w:t>Le texte en</w:t>
      </w:r>
      <w:r w:rsidR="002543C6" w:rsidRPr="00E81A99">
        <w:rPr>
          <w:lang w:eastAsia="en-IE"/>
        </w:rPr>
        <w:t xml:space="preserve"> </w:t>
      </w:r>
      <w:r w:rsidR="002543C6" w:rsidRPr="00E81A99">
        <w:rPr>
          <w:i/>
          <w:iCs/>
          <w:color w:val="BF4E14" w:themeColor="accent2" w:themeShade="BF"/>
          <w:lang w:eastAsia="en-IE"/>
        </w:rPr>
        <w:t>[orange]</w:t>
      </w:r>
      <w:r w:rsidR="002543C6" w:rsidRPr="00E81A99">
        <w:rPr>
          <w:lang w:eastAsia="en-IE"/>
        </w:rPr>
        <w:t xml:space="preserve"> </w:t>
      </w:r>
      <w:r w:rsidRPr="00E81A99">
        <w:rPr>
          <w:lang w:eastAsia="en-IE"/>
        </w:rPr>
        <w:t>dans le document doit être remplacé par les informations spécifiques au contexte national</w:t>
      </w:r>
      <w:r w:rsidRPr="00E81A99">
        <w:rPr>
          <w:lang w:eastAsia="en-IE"/>
        </w:rPr>
        <w:t>.</w:t>
      </w:r>
      <w:r w:rsidR="002543C6" w:rsidRPr="00E81A99">
        <w:rPr>
          <w:lang w:eastAsia="en-IE"/>
        </w:rPr>
        <w:t xml:space="preserve"> </w:t>
      </w:r>
      <w:r w:rsidRPr="00E81A99">
        <w:rPr>
          <w:lang w:eastAsia="en-IE"/>
        </w:rPr>
        <w:t xml:space="preserve">Des exemples </w:t>
      </w:r>
      <w:r w:rsidR="00E405CA" w:rsidRPr="00E81A99">
        <w:rPr>
          <w:lang w:eastAsia="en-IE"/>
        </w:rPr>
        <w:t>sont parfois fournis</w:t>
      </w:r>
      <w:r w:rsidR="00FB4D24" w:rsidRPr="00E81A99">
        <w:rPr>
          <w:lang w:eastAsia="en-IE"/>
        </w:rPr>
        <w:t xml:space="preserve"> </w:t>
      </w:r>
      <w:r w:rsidRPr="00E81A99">
        <w:rPr>
          <w:i/>
          <w:iCs/>
          <w:color w:val="3A7C22" w:themeColor="accent6" w:themeShade="BF"/>
          <w:lang w:eastAsia="en-IE"/>
        </w:rPr>
        <w:t>vert</w:t>
      </w:r>
      <w:r w:rsidR="00FB4D24" w:rsidRPr="00E81A99">
        <w:rPr>
          <w:color w:val="3A7C22" w:themeColor="accent6" w:themeShade="BF"/>
          <w:lang w:eastAsia="en-IE"/>
        </w:rPr>
        <w:t xml:space="preserve"> </w:t>
      </w:r>
      <w:r w:rsidR="00E405CA" w:rsidRPr="00E81A99">
        <w:rPr>
          <w:lang w:eastAsia="en-IE"/>
        </w:rPr>
        <w:t>et peuvent être utilisés tels quels ou adaptés au contexte</w:t>
      </w:r>
      <w:r w:rsidR="00FB4D24" w:rsidRPr="00E81A99">
        <w:rPr>
          <w:lang w:eastAsia="en-IE"/>
        </w:rPr>
        <w:t xml:space="preserve">. </w:t>
      </w:r>
      <w:r w:rsidR="00E405CA" w:rsidRPr="00E81A99">
        <w:rPr>
          <w:lang w:eastAsia="en-IE"/>
        </w:rPr>
        <w:t>Des notes apparaissent en</w:t>
      </w:r>
      <w:r w:rsidR="00A81CB0" w:rsidRPr="00E81A99">
        <w:rPr>
          <w:lang w:eastAsia="en-IE"/>
        </w:rPr>
        <w:t xml:space="preserve"> </w:t>
      </w:r>
      <w:r w:rsidR="00A81CB0" w:rsidRPr="00E81A99">
        <w:rPr>
          <w:i/>
          <w:iCs/>
          <w:color w:val="0070C0"/>
          <w:lang w:eastAsia="en-IE"/>
        </w:rPr>
        <w:t>[</w:t>
      </w:r>
      <w:r w:rsidR="00E405CA" w:rsidRPr="00E81A99">
        <w:rPr>
          <w:i/>
          <w:iCs/>
          <w:color w:val="0070C0"/>
          <w:lang w:eastAsia="en-IE"/>
        </w:rPr>
        <w:t>bleu</w:t>
      </w:r>
      <w:r w:rsidR="00A81CB0" w:rsidRPr="00E81A99">
        <w:rPr>
          <w:i/>
          <w:iCs/>
          <w:color w:val="0070C0"/>
          <w:lang w:eastAsia="en-IE"/>
        </w:rPr>
        <w:t>]</w:t>
      </w:r>
      <w:r w:rsidR="00A81CB0" w:rsidRPr="00E81A99">
        <w:rPr>
          <w:lang w:eastAsia="en-IE"/>
        </w:rPr>
        <w:t xml:space="preserve"> </w:t>
      </w:r>
      <w:r w:rsidR="00E405CA" w:rsidRPr="00E81A99">
        <w:rPr>
          <w:lang w:eastAsia="en-IE"/>
        </w:rPr>
        <w:t>à titre informatif, mais doivent être supprimées dans la version finale</w:t>
      </w:r>
      <w:r w:rsidR="00A81CB0" w:rsidRPr="00E81A99">
        <w:rPr>
          <w:lang w:eastAsia="en-IE"/>
        </w:rPr>
        <w:t>.</w:t>
      </w:r>
    </w:p>
    <w:p w14:paraId="0A202EAC" w14:textId="082282BF" w:rsidR="000906F8" w:rsidRPr="00E81A99" w:rsidRDefault="00E405CA" w:rsidP="000906F8">
      <w:pPr>
        <w:rPr>
          <w:lang w:eastAsia="en-IE"/>
        </w:rPr>
      </w:pPr>
      <w:r w:rsidRPr="00E81A99">
        <w:rPr>
          <w:lang w:eastAsia="en-IE"/>
        </w:rPr>
        <w:t>Pour toute question, veuillez contacter l’équipe GDF-MPD à l’adresse</w:t>
      </w:r>
      <w:r w:rsidRPr="00E81A99">
        <w:rPr>
          <w:lang w:eastAsia="en-IE"/>
        </w:rPr>
        <w:t> :</w:t>
      </w:r>
      <w:r w:rsidR="000906F8" w:rsidRPr="00E81A99">
        <w:rPr>
          <w:lang w:eastAsia="en-IE"/>
        </w:rPr>
        <w:t xml:space="preserve"> </w:t>
      </w:r>
      <w:hyperlink r:id="rId16" w:history="1">
        <w:r w:rsidR="000906F8" w:rsidRPr="00E81A99">
          <w:rPr>
            <w:rStyle w:val="Hyperlink"/>
            <w:lang w:eastAsia="en-IE"/>
          </w:rPr>
          <w:t>gdfmpd@worldbank.org</w:t>
        </w:r>
      </w:hyperlink>
      <w:r w:rsidR="000906F8" w:rsidRPr="00E81A99">
        <w:rPr>
          <w:lang w:eastAsia="en-IE"/>
        </w:rPr>
        <w:t>.</w:t>
      </w:r>
    </w:p>
    <w:p w14:paraId="07D2DEF3" w14:textId="39584377" w:rsidR="00442A4C" w:rsidRPr="00E81A99" w:rsidRDefault="00442A4C" w:rsidP="00442A4C">
      <w:pPr>
        <w:pStyle w:val="Caption"/>
        <w:keepNext/>
        <w:spacing w:after="0"/>
      </w:pPr>
      <w:r w:rsidRPr="00E81A99">
        <w:rPr>
          <w:sz w:val="20"/>
          <w:szCs w:val="20"/>
        </w:rPr>
        <w:lastRenderedPageBreak/>
        <w:t xml:space="preserve">Figure </w:t>
      </w:r>
      <w:r w:rsidRPr="00E81A99">
        <w:rPr>
          <w:sz w:val="20"/>
          <w:szCs w:val="20"/>
        </w:rPr>
        <w:fldChar w:fldCharType="begin"/>
      </w:r>
      <w:r w:rsidRPr="00E81A99">
        <w:rPr>
          <w:sz w:val="20"/>
          <w:szCs w:val="20"/>
        </w:rPr>
        <w:instrText xml:space="preserve"> SEQ Figure \* ARABIC </w:instrText>
      </w:r>
      <w:r w:rsidRPr="00E81A99">
        <w:rPr>
          <w:sz w:val="20"/>
          <w:szCs w:val="20"/>
        </w:rPr>
        <w:fldChar w:fldCharType="separate"/>
      </w:r>
      <w:r w:rsidRPr="00E81A99">
        <w:rPr>
          <w:sz w:val="20"/>
          <w:szCs w:val="20"/>
        </w:rPr>
        <w:t>1</w:t>
      </w:r>
      <w:r w:rsidRPr="00E81A99">
        <w:rPr>
          <w:sz w:val="20"/>
          <w:szCs w:val="20"/>
        </w:rPr>
        <w:fldChar w:fldCharType="end"/>
      </w:r>
      <w:r w:rsidRPr="00E81A99">
        <w:rPr>
          <w:sz w:val="20"/>
          <w:szCs w:val="20"/>
        </w:rPr>
        <w:t xml:space="preserve">. </w:t>
      </w:r>
      <w:r w:rsidR="00E405CA" w:rsidRPr="00E81A99">
        <w:rPr>
          <w:sz w:val="20"/>
          <w:szCs w:val="20"/>
        </w:rPr>
        <w:t>Institutionnalisation du pipeline de données pour le modèle AB.</w:t>
      </w:r>
    </w:p>
    <w:tbl>
      <w:tblPr>
        <w:tblStyle w:val="TableGrid"/>
        <w:tblW w:w="0" w:type="auto"/>
        <w:tblLook w:val="04A0" w:firstRow="1" w:lastRow="0" w:firstColumn="1" w:lastColumn="0" w:noHBand="0" w:noVBand="1"/>
      </w:tblPr>
      <w:tblGrid>
        <w:gridCol w:w="9350"/>
      </w:tblGrid>
      <w:tr w:rsidR="00442A4C" w:rsidRPr="00E81A99" w14:paraId="14475EBA" w14:textId="77777777" w:rsidTr="00442A4C">
        <w:tc>
          <w:tcPr>
            <w:tcW w:w="0" w:type="auto"/>
          </w:tcPr>
          <w:p w14:paraId="5211B8EF" w14:textId="0BBBEE11" w:rsidR="00442A4C" w:rsidRPr="00E81A99" w:rsidRDefault="0035792A" w:rsidP="00BF58A3">
            <w:pPr>
              <w:spacing w:before="240"/>
              <w:rPr>
                <w:lang w:eastAsia="en-IE"/>
              </w:rPr>
            </w:pPr>
            <w:r w:rsidRPr="00E81A99">
              <w:rPr>
                <w:lang w:eastAsia="en-IE"/>
              </w:rPr>
              <w:drawing>
                <wp:inline distT="0" distB="0" distL="0" distR="0" wp14:anchorId="12072791" wp14:editId="7CEADDEC">
                  <wp:extent cx="5832000" cy="1710321"/>
                  <wp:effectExtent l="0" t="0" r="0" b="4445"/>
                  <wp:docPr id="3311133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2000" cy="1710321"/>
                          </a:xfrm>
                          <a:prstGeom prst="rect">
                            <a:avLst/>
                          </a:prstGeom>
                          <a:noFill/>
                        </pic:spPr>
                      </pic:pic>
                    </a:graphicData>
                  </a:graphic>
                </wp:inline>
              </w:drawing>
            </w:r>
          </w:p>
          <w:p w14:paraId="48A2453F" w14:textId="387602C8" w:rsidR="0047083E" w:rsidRPr="00E81A99" w:rsidRDefault="00E405CA" w:rsidP="0047083E">
            <w:pPr>
              <w:pStyle w:val="ListParagraph"/>
              <w:numPr>
                <w:ilvl w:val="0"/>
                <w:numId w:val="17"/>
              </w:numPr>
              <w:spacing w:before="240"/>
              <w:jc w:val="center"/>
              <w:rPr>
                <w:i/>
                <w:iCs/>
                <w:lang w:eastAsia="en-IE"/>
              </w:rPr>
            </w:pPr>
            <w:r w:rsidRPr="00E81A99">
              <w:rPr>
                <w:i/>
                <w:iCs/>
                <w:lang w:eastAsia="en-IE"/>
              </w:rPr>
              <w:t>Canal gouvernement</w:t>
            </w:r>
          </w:p>
        </w:tc>
      </w:tr>
      <w:tr w:rsidR="00BF58A3" w:rsidRPr="00E81A99" w14:paraId="3DA401ED" w14:textId="77777777" w:rsidTr="00442A4C">
        <w:tc>
          <w:tcPr>
            <w:tcW w:w="0" w:type="auto"/>
          </w:tcPr>
          <w:p w14:paraId="4BC54A58" w14:textId="3D88E5C5" w:rsidR="00BF58A3" w:rsidRPr="00E81A99" w:rsidRDefault="0035792A" w:rsidP="00BF58A3">
            <w:pPr>
              <w:spacing w:before="240"/>
              <w:rPr>
                <w:lang w:eastAsia="en-IE"/>
              </w:rPr>
            </w:pPr>
            <w:r w:rsidRPr="00E81A99">
              <w:rPr>
                <w:lang w:eastAsia="en-IE"/>
              </w:rPr>
              <w:drawing>
                <wp:inline distT="0" distB="0" distL="0" distR="0" wp14:anchorId="7C564406" wp14:editId="337A7BC4">
                  <wp:extent cx="5832000" cy="1698306"/>
                  <wp:effectExtent l="0" t="0" r="0" b="0"/>
                  <wp:docPr id="1071392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2000" cy="1698306"/>
                          </a:xfrm>
                          <a:prstGeom prst="rect">
                            <a:avLst/>
                          </a:prstGeom>
                          <a:noFill/>
                        </pic:spPr>
                      </pic:pic>
                    </a:graphicData>
                  </a:graphic>
                </wp:inline>
              </w:drawing>
            </w:r>
          </w:p>
          <w:p w14:paraId="582279B5" w14:textId="3C72C229" w:rsidR="0047083E" w:rsidRPr="00E81A99" w:rsidRDefault="00E405CA" w:rsidP="0047083E">
            <w:pPr>
              <w:pStyle w:val="ListParagraph"/>
              <w:numPr>
                <w:ilvl w:val="0"/>
                <w:numId w:val="17"/>
              </w:numPr>
              <w:spacing w:before="240"/>
              <w:jc w:val="center"/>
              <w:rPr>
                <w:i/>
                <w:iCs/>
                <w:lang w:eastAsia="en-IE"/>
              </w:rPr>
            </w:pPr>
            <w:r w:rsidRPr="00E81A99">
              <w:rPr>
                <w:i/>
                <w:iCs/>
                <w:lang w:eastAsia="en-IE"/>
              </w:rPr>
              <w:t>Canal Partenaire Technique Externe</w:t>
            </w:r>
          </w:p>
        </w:tc>
      </w:tr>
      <w:tr w:rsidR="0047083E" w:rsidRPr="00E81A99" w14:paraId="04C69EA2" w14:textId="77777777" w:rsidTr="00442A4C">
        <w:tc>
          <w:tcPr>
            <w:tcW w:w="0" w:type="auto"/>
          </w:tcPr>
          <w:p w14:paraId="75F5298A" w14:textId="72E368A7" w:rsidR="0047083E" w:rsidRPr="00E81A99" w:rsidRDefault="005D410A" w:rsidP="00BF58A3">
            <w:pPr>
              <w:spacing w:before="240"/>
              <w:rPr>
                <w:lang w:eastAsia="en-IE"/>
              </w:rPr>
            </w:pPr>
            <w:r w:rsidRPr="00E81A99">
              <w:rPr>
                <w:lang w:eastAsia="en-IE"/>
              </w:rPr>
              <w:drawing>
                <wp:inline distT="0" distB="0" distL="0" distR="0" wp14:anchorId="73213F9A" wp14:editId="1BC0188C">
                  <wp:extent cx="5832000" cy="1737821"/>
                  <wp:effectExtent l="0" t="0" r="0" b="0"/>
                  <wp:docPr id="88745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2000" cy="1737821"/>
                          </a:xfrm>
                          <a:prstGeom prst="rect">
                            <a:avLst/>
                          </a:prstGeom>
                          <a:noFill/>
                        </pic:spPr>
                      </pic:pic>
                    </a:graphicData>
                  </a:graphic>
                </wp:inline>
              </w:drawing>
            </w:r>
          </w:p>
          <w:p w14:paraId="11BFC3C9" w14:textId="0429D2E7" w:rsidR="0047083E" w:rsidRPr="00E81A99" w:rsidRDefault="00E405CA" w:rsidP="0047083E">
            <w:pPr>
              <w:pStyle w:val="ListParagraph"/>
              <w:numPr>
                <w:ilvl w:val="0"/>
                <w:numId w:val="17"/>
              </w:numPr>
              <w:spacing w:before="240"/>
              <w:rPr>
                <w:i/>
                <w:iCs/>
                <w:lang w:eastAsia="en-IE"/>
              </w:rPr>
            </w:pPr>
            <w:r w:rsidRPr="00E81A99">
              <w:rPr>
                <w:i/>
                <w:iCs/>
                <w:lang w:eastAsia="en-IE"/>
              </w:rPr>
              <w:t xml:space="preserve">Canal </w:t>
            </w:r>
            <w:proofErr w:type="spellStart"/>
            <w:r w:rsidRPr="00E81A99">
              <w:rPr>
                <w:i/>
                <w:iCs/>
                <w:lang w:eastAsia="en-IE"/>
              </w:rPr>
              <w:t>spéciél</w:t>
            </w:r>
            <w:proofErr w:type="spellEnd"/>
            <w:r w:rsidRPr="00E81A99">
              <w:rPr>
                <w:i/>
                <w:iCs/>
                <w:lang w:eastAsia="en-IE"/>
              </w:rPr>
              <w:t xml:space="preserve"> pour les applications impliquant l’intégration de micro-données d’enquêtes.</w:t>
            </w:r>
          </w:p>
        </w:tc>
      </w:tr>
    </w:tbl>
    <w:p w14:paraId="5680B241" w14:textId="77777777" w:rsidR="00562685" w:rsidRPr="00E81A99" w:rsidRDefault="00562685">
      <w:pPr>
        <w:spacing w:after="160" w:line="259" w:lineRule="auto"/>
        <w:jc w:val="left"/>
        <w:rPr>
          <w:b/>
          <w:bCs/>
        </w:rPr>
      </w:pPr>
      <w:r w:rsidRPr="00E81A99">
        <w:rPr>
          <w:b/>
          <w:bCs/>
        </w:rPr>
        <w:br w:type="page"/>
      </w:r>
    </w:p>
    <w:p w14:paraId="2B77592B" w14:textId="7B688FFE" w:rsidR="00CB5DD2" w:rsidRPr="00E81A99" w:rsidRDefault="00E405CA" w:rsidP="00CB5DD2">
      <w:pPr>
        <w:spacing w:line="240" w:lineRule="auto"/>
        <w:jc w:val="center"/>
        <w:rPr>
          <w:b/>
          <w:bCs/>
        </w:rPr>
      </w:pPr>
      <w:r w:rsidRPr="00E81A99">
        <w:rPr>
          <w:b/>
          <w:bCs/>
        </w:rPr>
        <w:lastRenderedPageBreak/>
        <w:t>PROTOCOLE D’ACCORD</w:t>
      </w:r>
    </w:p>
    <w:p w14:paraId="1CA4802B" w14:textId="4A7C7AB5" w:rsidR="00CB5DD2" w:rsidRPr="00E81A99" w:rsidRDefault="00E405CA" w:rsidP="00CB5DD2">
      <w:pPr>
        <w:spacing w:line="240" w:lineRule="auto"/>
        <w:jc w:val="center"/>
      </w:pPr>
      <w:r w:rsidRPr="00E81A99">
        <w:t>ENTRE</w:t>
      </w:r>
    </w:p>
    <w:p w14:paraId="6DD5B847" w14:textId="45512CFD" w:rsidR="00CB5DD2" w:rsidRPr="00E81A99" w:rsidRDefault="00806FC3" w:rsidP="00CB5DD2">
      <w:pPr>
        <w:spacing w:line="240" w:lineRule="auto"/>
        <w:jc w:val="center"/>
        <w:rPr>
          <w:i/>
          <w:iCs/>
        </w:rPr>
      </w:pPr>
      <w:r w:rsidRPr="00E81A99">
        <w:rPr>
          <w:i/>
          <w:iCs/>
        </w:rPr>
        <w:t>[</w:t>
      </w:r>
      <w:r w:rsidR="00E405CA" w:rsidRPr="00E81A99">
        <w:rPr>
          <w:i/>
          <w:iCs/>
          <w:color w:val="BF4E14" w:themeColor="accent2" w:themeShade="BF"/>
        </w:rPr>
        <w:t>Institut National de la Statistique</w:t>
      </w:r>
      <w:r w:rsidR="00A83229" w:rsidRPr="00E81A99">
        <w:rPr>
          <w:i/>
          <w:iCs/>
          <w:color w:val="BF4E14" w:themeColor="accent2" w:themeShade="BF"/>
        </w:rPr>
        <w:t xml:space="preserve"> (</w:t>
      </w:r>
      <w:r w:rsidR="00E405CA" w:rsidRPr="00E81A99">
        <w:rPr>
          <w:i/>
          <w:iCs/>
          <w:color w:val="BF4E14" w:themeColor="accent2" w:themeShade="BF"/>
        </w:rPr>
        <w:t>INS</w:t>
      </w:r>
      <w:r w:rsidR="00A83229" w:rsidRPr="00E81A99">
        <w:rPr>
          <w:i/>
          <w:iCs/>
          <w:color w:val="BF4E14" w:themeColor="accent2" w:themeShade="BF"/>
        </w:rPr>
        <w:t>)</w:t>
      </w:r>
      <w:r w:rsidRPr="00E81A99">
        <w:rPr>
          <w:i/>
          <w:iCs/>
        </w:rPr>
        <w:t>]</w:t>
      </w:r>
    </w:p>
    <w:p w14:paraId="3B0B60A6" w14:textId="32DD232B" w:rsidR="00CB5DD2" w:rsidRPr="00E81A99" w:rsidRDefault="00E405CA" w:rsidP="00CB5DD2">
      <w:pPr>
        <w:spacing w:line="240" w:lineRule="auto"/>
        <w:jc w:val="center"/>
      </w:pPr>
      <w:r w:rsidRPr="00E81A99">
        <w:t>ET</w:t>
      </w:r>
    </w:p>
    <w:p w14:paraId="3E8786AA" w14:textId="01FAF47C" w:rsidR="00CB5DD2" w:rsidRPr="00E81A99" w:rsidRDefault="00806FC3" w:rsidP="00CB5DD2">
      <w:pPr>
        <w:spacing w:line="240" w:lineRule="auto"/>
        <w:jc w:val="center"/>
        <w:rPr>
          <w:i/>
          <w:iCs/>
        </w:rPr>
      </w:pPr>
      <w:r w:rsidRPr="00E81A99">
        <w:rPr>
          <w:i/>
          <w:iCs/>
        </w:rPr>
        <w:t>[</w:t>
      </w:r>
      <w:r w:rsidR="00E405CA" w:rsidRPr="00E81A99">
        <w:rPr>
          <w:i/>
          <w:iCs/>
          <w:color w:val="BF4E14" w:themeColor="accent2" w:themeShade="BF"/>
        </w:rPr>
        <w:t>Régulateur</w:t>
      </w:r>
      <w:r w:rsidRPr="00E81A99">
        <w:rPr>
          <w:i/>
          <w:iCs/>
        </w:rPr>
        <w:t>]</w:t>
      </w:r>
    </w:p>
    <w:p w14:paraId="7045F0BC" w14:textId="77777777" w:rsidR="00CB5DD2" w:rsidRPr="00E81A99" w:rsidRDefault="00CB5DD2" w:rsidP="00CB5DD2">
      <w:pPr>
        <w:spacing w:line="240" w:lineRule="auto"/>
        <w:jc w:val="center"/>
      </w:pPr>
      <w:r w:rsidRPr="00E81A99">
        <w:t>AND</w:t>
      </w:r>
    </w:p>
    <w:p w14:paraId="4631595A" w14:textId="4DBB08EE" w:rsidR="00CB5DD2" w:rsidRPr="00E81A99" w:rsidRDefault="00A83229" w:rsidP="00CB5DD2">
      <w:pPr>
        <w:spacing w:line="240" w:lineRule="auto"/>
        <w:jc w:val="center"/>
        <w:rPr>
          <w:i/>
          <w:iCs/>
        </w:rPr>
      </w:pPr>
      <w:r w:rsidRPr="00E81A99">
        <w:rPr>
          <w:i/>
          <w:iCs/>
        </w:rPr>
        <w:t>[</w:t>
      </w:r>
      <w:r w:rsidR="00E405CA" w:rsidRPr="00E81A99">
        <w:rPr>
          <w:i/>
          <w:iCs/>
          <w:color w:val="BF4E14" w:themeColor="accent2" w:themeShade="BF"/>
        </w:rPr>
        <w:t>OTM</w:t>
      </w:r>
      <w:r w:rsidRPr="00E81A99">
        <w:rPr>
          <w:i/>
          <w:iCs/>
          <w:color w:val="BF4E14" w:themeColor="accent2" w:themeShade="BF"/>
        </w:rPr>
        <w:t xml:space="preserve"> 1</w:t>
      </w:r>
      <w:r w:rsidRPr="00E81A99">
        <w:rPr>
          <w:i/>
          <w:iCs/>
        </w:rPr>
        <w:t>]</w:t>
      </w:r>
    </w:p>
    <w:p w14:paraId="530A04F2" w14:textId="2CB97CC1" w:rsidR="00A83229" w:rsidRPr="00E81A99" w:rsidRDefault="00A83229" w:rsidP="00CB5DD2">
      <w:pPr>
        <w:spacing w:line="240" w:lineRule="auto"/>
        <w:jc w:val="center"/>
      </w:pPr>
      <w:r w:rsidRPr="00E81A99">
        <w:t>AND</w:t>
      </w:r>
    </w:p>
    <w:p w14:paraId="39CB28DD" w14:textId="567506F6" w:rsidR="00A83229" w:rsidRPr="00E81A99" w:rsidRDefault="00A83229" w:rsidP="00CB5DD2">
      <w:pPr>
        <w:spacing w:line="240" w:lineRule="auto"/>
        <w:jc w:val="center"/>
        <w:rPr>
          <w:i/>
          <w:iCs/>
        </w:rPr>
      </w:pPr>
      <w:r w:rsidRPr="00E81A99">
        <w:rPr>
          <w:i/>
          <w:iCs/>
        </w:rPr>
        <w:t>[</w:t>
      </w:r>
      <w:r w:rsidR="00E405CA" w:rsidRPr="00E81A99">
        <w:rPr>
          <w:i/>
          <w:iCs/>
          <w:color w:val="BF4E14" w:themeColor="accent2" w:themeShade="BF"/>
        </w:rPr>
        <w:t>OTM</w:t>
      </w:r>
      <w:r w:rsidRPr="00E81A99">
        <w:rPr>
          <w:i/>
          <w:iCs/>
          <w:color w:val="BF4E14" w:themeColor="accent2" w:themeShade="BF"/>
        </w:rPr>
        <w:t xml:space="preserve"> 2</w:t>
      </w:r>
      <w:r w:rsidR="00995801" w:rsidRPr="00E81A99">
        <w:rPr>
          <w:i/>
          <w:iCs/>
          <w:color w:val="BF4E14" w:themeColor="accent2" w:themeShade="BF"/>
        </w:rPr>
        <w:t xml:space="preserve"> (OPTION</w:t>
      </w:r>
      <w:r w:rsidR="00E405CA" w:rsidRPr="00E81A99">
        <w:rPr>
          <w:i/>
          <w:iCs/>
          <w:color w:val="BF4E14" w:themeColor="accent2" w:themeShade="BF"/>
        </w:rPr>
        <w:t>NEL</w:t>
      </w:r>
      <w:r w:rsidR="00995801" w:rsidRPr="00E81A99">
        <w:rPr>
          <w:i/>
          <w:iCs/>
          <w:color w:val="BF4E14" w:themeColor="accent2" w:themeShade="BF"/>
        </w:rPr>
        <w:t>)</w:t>
      </w:r>
      <w:r w:rsidRPr="00E81A99">
        <w:rPr>
          <w:i/>
          <w:iCs/>
        </w:rPr>
        <w:t>]</w:t>
      </w:r>
    </w:p>
    <w:p w14:paraId="0D101370" w14:textId="3F12E3B4" w:rsidR="00A83229" w:rsidRPr="00E81A99" w:rsidRDefault="00A83229" w:rsidP="00CB5DD2">
      <w:pPr>
        <w:spacing w:line="240" w:lineRule="auto"/>
        <w:jc w:val="center"/>
        <w:rPr>
          <w:i/>
          <w:iCs/>
        </w:rPr>
      </w:pPr>
      <w:r w:rsidRPr="00E81A99">
        <w:rPr>
          <w:i/>
          <w:iCs/>
        </w:rPr>
        <w:t>[…]</w:t>
      </w:r>
    </w:p>
    <w:p w14:paraId="6E3DB1AD" w14:textId="125144DA" w:rsidR="00CB5DD2" w:rsidRPr="00E81A99" w:rsidRDefault="00E25A76" w:rsidP="00CB5DD2">
      <w:pPr>
        <w:spacing w:line="240" w:lineRule="auto"/>
        <w:rPr>
          <w:b/>
          <w:bCs/>
        </w:rPr>
      </w:pPr>
      <w:r w:rsidRPr="00E81A99">
        <w:rPr>
          <w:i/>
          <w:iCs/>
          <w:color w:val="0070C0"/>
          <w:lang w:eastAsia="en-IE"/>
        </w:rPr>
        <w:t>[</w:t>
      </w:r>
      <w:r w:rsidR="00E405CA" w:rsidRPr="00E81A99">
        <w:rPr>
          <w:i/>
          <w:iCs/>
          <w:color w:val="0070C0"/>
          <w:lang w:eastAsia="en-IE"/>
        </w:rPr>
        <w:t>Le cas échéant, une autorité de protection des données peut également être incluse comme Partie au protocole</w:t>
      </w:r>
      <w:r w:rsidRPr="00E81A99">
        <w:rPr>
          <w:i/>
          <w:iCs/>
          <w:color w:val="0070C0"/>
          <w:lang w:eastAsia="en-IE"/>
        </w:rPr>
        <w:t>.]</w:t>
      </w:r>
    </w:p>
    <w:p w14:paraId="4FD62DD6" w14:textId="497E7C8A" w:rsidR="00CB5DD2" w:rsidRPr="00E81A99" w:rsidRDefault="00E405CA" w:rsidP="00CB5DD2">
      <w:pPr>
        <w:spacing w:line="240" w:lineRule="auto"/>
      </w:pPr>
      <w:r w:rsidRPr="00E81A99">
        <w:rPr>
          <w:b/>
          <w:bCs/>
        </w:rPr>
        <w:t xml:space="preserve">Le </w:t>
      </w:r>
      <w:proofErr w:type="spellStart"/>
      <w:r w:rsidRPr="00E81A99">
        <w:rPr>
          <w:b/>
          <w:bCs/>
        </w:rPr>
        <w:t>present</w:t>
      </w:r>
      <w:proofErr w:type="spellEnd"/>
      <w:r w:rsidRPr="00E81A99">
        <w:rPr>
          <w:b/>
          <w:bCs/>
        </w:rPr>
        <w:t xml:space="preserve"> Accord est conclu le</w:t>
      </w:r>
      <w:r w:rsidR="00CB5DD2" w:rsidRPr="00E81A99">
        <w:rPr>
          <w:b/>
          <w:bCs/>
        </w:rPr>
        <w:t xml:space="preserve"> </w:t>
      </w:r>
      <w:r w:rsidR="00CB5DD2" w:rsidRPr="00E81A99">
        <w:rPr>
          <w:b/>
          <w:bCs/>
          <w:i/>
          <w:iCs/>
          <w:color w:val="E97132" w:themeColor="accent2"/>
        </w:rPr>
        <w:t>[</w:t>
      </w:r>
      <w:r w:rsidRPr="00E81A99">
        <w:rPr>
          <w:b/>
          <w:bCs/>
          <w:i/>
          <w:iCs/>
          <w:color w:val="E97132" w:themeColor="accent2"/>
        </w:rPr>
        <w:t>insérer la</w:t>
      </w:r>
      <w:r w:rsidR="00CB5DD2" w:rsidRPr="00E81A99">
        <w:rPr>
          <w:b/>
          <w:bCs/>
          <w:i/>
          <w:iCs/>
          <w:color w:val="E97132" w:themeColor="accent2"/>
        </w:rPr>
        <w:t xml:space="preserve"> date]</w:t>
      </w:r>
      <w:r w:rsidR="00CB5DD2" w:rsidRPr="00E81A99">
        <w:rPr>
          <w:b/>
          <w:bCs/>
        </w:rPr>
        <w:t xml:space="preserve"> </w:t>
      </w:r>
      <w:proofErr w:type="gramStart"/>
      <w:r w:rsidRPr="00E81A99">
        <w:rPr>
          <w:b/>
          <w:bCs/>
        </w:rPr>
        <w:t>entre</w:t>
      </w:r>
      <w:r w:rsidR="00CB5DD2" w:rsidRPr="00E81A99">
        <w:t>:</w:t>
      </w:r>
      <w:proofErr w:type="gramEnd"/>
    </w:p>
    <w:p w14:paraId="66A94B79" w14:textId="2EB8C997" w:rsidR="00CB5DD2" w:rsidRPr="00E81A99" w:rsidRDefault="00CB5DD2" w:rsidP="00CB5DD2">
      <w:pPr>
        <w:pStyle w:val="ListParagraph"/>
        <w:numPr>
          <w:ilvl w:val="0"/>
          <w:numId w:val="8"/>
        </w:numPr>
        <w:spacing w:line="240" w:lineRule="auto"/>
      </w:pPr>
      <w:r w:rsidRPr="00E81A99">
        <w:t>[</w:t>
      </w:r>
      <w:r w:rsidR="00E405CA" w:rsidRPr="00E81A99">
        <w:rPr>
          <w:i/>
          <w:iCs/>
          <w:color w:val="BF4E14" w:themeColor="accent2" w:themeShade="BF"/>
        </w:rPr>
        <w:t xml:space="preserve">Nom du </w:t>
      </w:r>
      <w:proofErr w:type="spellStart"/>
      <w:r w:rsidR="00E405CA" w:rsidRPr="00E81A99">
        <w:rPr>
          <w:i/>
          <w:iCs/>
          <w:color w:val="BF4E14" w:themeColor="accent2" w:themeShade="BF"/>
        </w:rPr>
        <w:t>representant</w:t>
      </w:r>
      <w:proofErr w:type="spellEnd"/>
      <w:r w:rsidR="00E405CA" w:rsidRPr="00E81A99">
        <w:rPr>
          <w:i/>
          <w:iCs/>
          <w:color w:val="BF4E14" w:themeColor="accent2" w:themeShade="BF"/>
        </w:rPr>
        <w:t xml:space="preserve"> de l’INS</w:t>
      </w:r>
      <w:proofErr w:type="gramStart"/>
      <w:r w:rsidRPr="00E81A99">
        <w:t>]:</w:t>
      </w:r>
      <w:proofErr w:type="gramEnd"/>
      <w:r w:rsidRPr="00E81A99">
        <w:t xml:space="preserve"> [</w:t>
      </w:r>
      <w:r w:rsidR="00E405CA" w:rsidRPr="00E81A99">
        <w:rPr>
          <w:i/>
          <w:iCs/>
          <w:color w:val="BF4E14" w:themeColor="accent2" w:themeShade="BF"/>
        </w:rPr>
        <w:t>détails sur le représentant</w:t>
      </w:r>
      <w:r w:rsidRPr="00E81A99">
        <w:t xml:space="preserve">], </w:t>
      </w:r>
      <w:r w:rsidR="00E405CA" w:rsidRPr="00E81A99">
        <w:t>agissant pour le compte de</w:t>
      </w:r>
      <w:r w:rsidRPr="00E81A99">
        <w:t xml:space="preserve"> </w:t>
      </w:r>
      <w:r w:rsidR="00A83229" w:rsidRPr="00E81A99">
        <w:t>[</w:t>
      </w:r>
      <w:r w:rsidR="00E405CA" w:rsidRPr="00E81A99">
        <w:rPr>
          <w:i/>
          <w:iCs/>
          <w:color w:val="E97132" w:themeColor="accent2"/>
        </w:rPr>
        <w:t>INS</w:t>
      </w:r>
      <w:r w:rsidR="00A83229" w:rsidRPr="00E81A99">
        <w:t>]</w:t>
      </w:r>
    </w:p>
    <w:p w14:paraId="07C14DE8" w14:textId="0FCD583B" w:rsidR="00CB5DD2" w:rsidRPr="00E81A99" w:rsidRDefault="00CB5DD2" w:rsidP="00CB5DD2">
      <w:pPr>
        <w:pStyle w:val="ListParagraph"/>
        <w:numPr>
          <w:ilvl w:val="0"/>
          <w:numId w:val="8"/>
        </w:numPr>
        <w:spacing w:line="240" w:lineRule="auto"/>
      </w:pPr>
      <w:r w:rsidRPr="00E81A99">
        <w:t>[</w:t>
      </w:r>
      <w:r w:rsidR="00E405CA" w:rsidRPr="00E81A99">
        <w:rPr>
          <w:i/>
          <w:iCs/>
          <w:color w:val="BF4E14" w:themeColor="accent2" w:themeShade="BF"/>
        </w:rPr>
        <w:t xml:space="preserve">Nom du </w:t>
      </w:r>
      <w:proofErr w:type="spellStart"/>
      <w:r w:rsidR="00E405CA" w:rsidRPr="00E81A99">
        <w:rPr>
          <w:i/>
          <w:iCs/>
          <w:color w:val="BF4E14" w:themeColor="accent2" w:themeShade="BF"/>
        </w:rPr>
        <w:t>representant</w:t>
      </w:r>
      <w:proofErr w:type="spellEnd"/>
      <w:r w:rsidR="00E405CA" w:rsidRPr="00E81A99">
        <w:rPr>
          <w:i/>
          <w:iCs/>
          <w:color w:val="BF4E14" w:themeColor="accent2" w:themeShade="BF"/>
        </w:rPr>
        <w:t xml:space="preserve"> du Régulateur</w:t>
      </w:r>
      <w:proofErr w:type="gramStart"/>
      <w:r w:rsidRPr="00E81A99">
        <w:t>]:</w:t>
      </w:r>
      <w:proofErr w:type="gramEnd"/>
      <w:r w:rsidRPr="00E81A99">
        <w:t xml:space="preserve"> [</w:t>
      </w:r>
      <w:r w:rsidR="00E405CA" w:rsidRPr="00E81A99">
        <w:rPr>
          <w:i/>
          <w:iCs/>
          <w:color w:val="BF4E14" w:themeColor="accent2" w:themeShade="BF"/>
        </w:rPr>
        <w:t>détails sur le représentant</w:t>
      </w:r>
      <w:r w:rsidRPr="00E81A99">
        <w:t xml:space="preserve">], </w:t>
      </w:r>
      <w:r w:rsidR="00E405CA" w:rsidRPr="00E81A99">
        <w:t>agissant pour le compte de</w:t>
      </w:r>
      <w:r w:rsidRPr="00E81A99">
        <w:t xml:space="preserve"> </w:t>
      </w:r>
      <w:r w:rsidR="00A83229" w:rsidRPr="00E81A99">
        <w:t>[</w:t>
      </w:r>
      <w:r w:rsidR="00E405CA" w:rsidRPr="00E81A99">
        <w:rPr>
          <w:i/>
          <w:iCs/>
          <w:color w:val="BF4E14" w:themeColor="accent2" w:themeShade="BF"/>
        </w:rPr>
        <w:t>Régulateur</w:t>
      </w:r>
      <w:r w:rsidR="00A83229" w:rsidRPr="00E81A99">
        <w:t>]</w:t>
      </w:r>
    </w:p>
    <w:p w14:paraId="1DD674CE" w14:textId="647B25C9" w:rsidR="00CB5DD2" w:rsidRPr="00E81A99" w:rsidRDefault="00CB5DD2" w:rsidP="00CB5DD2">
      <w:pPr>
        <w:pStyle w:val="ListParagraph"/>
        <w:numPr>
          <w:ilvl w:val="0"/>
          <w:numId w:val="8"/>
        </w:numPr>
        <w:spacing w:line="240" w:lineRule="auto"/>
      </w:pPr>
      <w:r w:rsidRPr="00E81A99">
        <w:t>[</w:t>
      </w:r>
      <w:r w:rsidR="00E405CA" w:rsidRPr="00E81A99">
        <w:rPr>
          <w:i/>
          <w:iCs/>
          <w:color w:val="BF4E14" w:themeColor="accent2" w:themeShade="BF"/>
        </w:rPr>
        <w:t xml:space="preserve">Nom du </w:t>
      </w:r>
      <w:proofErr w:type="spellStart"/>
      <w:r w:rsidR="00E405CA" w:rsidRPr="00E81A99">
        <w:rPr>
          <w:i/>
          <w:iCs/>
          <w:color w:val="BF4E14" w:themeColor="accent2" w:themeShade="BF"/>
        </w:rPr>
        <w:t>representant</w:t>
      </w:r>
      <w:proofErr w:type="spellEnd"/>
      <w:r w:rsidR="00E405CA" w:rsidRPr="00E81A99">
        <w:rPr>
          <w:i/>
          <w:iCs/>
          <w:color w:val="BF4E14" w:themeColor="accent2" w:themeShade="BF"/>
        </w:rPr>
        <w:t xml:space="preserve"> de l’OTM 1</w:t>
      </w:r>
      <w:proofErr w:type="gramStart"/>
      <w:r w:rsidRPr="00E81A99">
        <w:t>]:</w:t>
      </w:r>
      <w:proofErr w:type="gramEnd"/>
      <w:r w:rsidRPr="00E81A99">
        <w:t xml:space="preserve"> [</w:t>
      </w:r>
      <w:r w:rsidR="00E405CA" w:rsidRPr="00E81A99">
        <w:rPr>
          <w:i/>
          <w:iCs/>
          <w:color w:val="BF4E14" w:themeColor="accent2" w:themeShade="BF"/>
        </w:rPr>
        <w:t>détails sur le représentant</w:t>
      </w:r>
      <w:r w:rsidRPr="00E81A99">
        <w:t xml:space="preserve">], </w:t>
      </w:r>
      <w:r w:rsidR="00E405CA" w:rsidRPr="00E81A99">
        <w:t xml:space="preserve">agissant pour le compte de </w:t>
      </w:r>
      <w:r w:rsidR="00A83229" w:rsidRPr="00E81A99">
        <w:t>[</w:t>
      </w:r>
      <w:r w:rsidR="00E405CA" w:rsidRPr="00E81A99">
        <w:rPr>
          <w:i/>
          <w:iCs/>
          <w:color w:val="BF4E14" w:themeColor="accent2" w:themeShade="BF"/>
        </w:rPr>
        <w:t>OTM</w:t>
      </w:r>
      <w:r w:rsidR="00A83229" w:rsidRPr="00E81A99">
        <w:rPr>
          <w:i/>
          <w:iCs/>
          <w:color w:val="BF4E14" w:themeColor="accent2" w:themeShade="BF"/>
        </w:rPr>
        <w:t xml:space="preserve"> 1</w:t>
      </w:r>
      <w:r w:rsidR="00A83229" w:rsidRPr="00E81A99">
        <w:t>]</w:t>
      </w:r>
    </w:p>
    <w:p w14:paraId="474BCD2A" w14:textId="77777777" w:rsidR="00CB5DD2" w:rsidRPr="00E81A99" w:rsidRDefault="00CB5DD2" w:rsidP="00CB5DD2">
      <w:pPr>
        <w:pStyle w:val="ListParagraph"/>
        <w:numPr>
          <w:ilvl w:val="0"/>
          <w:numId w:val="8"/>
        </w:numPr>
        <w:spacing w:line="240" w:lineRule="auto"/>
      </w:pPr>
      <w:r w:rsidRPr="00E81A99">
        <w:t>…</w:t>
      </w:r>
    </w:p>
    <w:p w14:paraId="420AA54A" w14:textId="72EBABC2" w:rsidR="00CB5DD2" w:rsidRPr="00E81A99" w:rsidRDefault="00E405CA" w:rsidP="00CB5DD2">
      <w:pPr>
        <w:spacing w:line="240" w:lineRule="auto"/>
      </w:pPr>
      <w:r w:rsidRPr="00E81A99">
        <w:t>Ensemble</w:t>
      </w:r>
      <w:r w:rsidR="00CB5DD2" w:rsidRPr="00E81A99">
        <w:t xml:space="preserve"> “</w:t>
      </w:r>
      <w:r w:rsidRPr="00E81A99">
        <w:rPr>
          <w:b/>
          <w:bCs/>
        </w:rPr>
        <w:t>Les</w:t>
      </w:r>
      <w:r w:rsidR="00CB5DD2" w:rsidRPr="00E81A99">
        <w:rPr>
          <w:b/>
          <w:bCs/>
        </w:rPr>
        <w:t xml:space="preserve"> Parties</w:t>
      </w:r>
      <w:r w:rsidR="00CB5DD2" w:rsidRPr="00E81A99">
        <w:t xml:space="preserve">” </w:t>
      </w:r>
      <w:r w:rsidRPr="00E81A99">
        <w:t>et individuellement la</w:t>
      </w:r>
      <w:r w:rsidR="00CB5DD2" w:rsidRPr="00E81A99">
        <w:t xml:space="preserve"> “</w:t>
      </w:r>
      <w:r w:rsidR="00CB5DD2" w:rsidRPr="00E81A99">
        <w:rPr>
          <w:b/>
          <w:bCs/>
        </w:rPr>
        <w:t>Part</w:t>
      </w:r>
      <w:r w:rsidRPr="00E81A99">
        <w:rPr>
          <w:b/>
          <w:bCs/>
        </w:rPr>
        <w:t>ie</w:t>
      </w:r>
      <w:r w:rsidR="00CB5DD2" w:rsidRPr="00E81A99">
        <w:t>”.</w:t>
      </w:r>
    </w:p>
    <w:p w14:paraId="2D73EA57" w14:textId="5E41B91E" w:rsidR="00CB5DD2" w:rsidRPr="00E81A99" w:rsidRDefault="00E405CA" w:rsidP="00CB5DD2">
      <w:pPr>
        <w:spacing w:line="240" w:lineRule="auto"/>
        <w:rPr>
          <w:b/>
          <w:bCs/>
        </w:rPr>
      </w:pPr>
      <w:r w:rsidRPr="00E81A99">
        <w:rPr>
          <w:b/>
          <w:bCs/>
        </w:rPr>
        <w:t>CONSID</w:t>
      </w:r>
      <w:r w:rsidR="00E81A99" w:rsidRPr="00E81A99">
        <w:rPr>
          <w:b/>
          <w:bCs/>
        </w:rPr>
        <w:t>É</w:t>
      </w:r>
      <w:r w:rsidRPr="00E81A99">
        <w:rPr>
          <w:b/>
          <w:bCs/>
        </w:rPr>
        <w:t>RANT QUE :</w:t>
      </w:r>
    </w:p>
    <w:p w14:paraId="52F1D901" w14:textId="32EDFDEB" w:rsidR="00CB5DD2" w:rsidRPr="00E81A99" w:rsidRDefault="00A83229" w:rsidP="00CB5DD2">
      <w:pPr>
        <w:pStyle w:val="ListParagraph"/>
        <w:numPr>
          <w:ilvl w:val="0"/>
          <w:numId w:val="9"/>
        </w:numPr>
        <w:spacing w:line="240" w:lineRule="auto"/>
      </w:pPr>
      <w:r w:rsidRPr="00E81A99">
        <w:t>[</w:t>
      </w:r>
      <w:r w:rsidR="00E81A99" w:rsidRPr="00E81A99">
        <w:rPr>
          <w:i/>
          <w:iCs/>
          <w:color w:val="E97132" w:themeColor="accent2"/>
        </w:rPr>
        <w:t>INS</w:t>
      </w:r>
      <w:r w:rsidRPr="00E81A99">
        <w:t>]</w:t>
      </w:r>
      <w:r w:rsidR="00CB5DD2" w:rsidRPr="00E81A99">
        <w:t xml:space="preserve"> </w:t>
      </w:r>
      <w:r w:rsidR="00E81A99" w:rsidRPr="00E81A99">
        <w:t>est</w:t>
      </w:r>
      <w:r w:rsidR="00CB5DD2" w:rsidRPr="00E81A99">
        <w:t xml:space="preserve"> [</w:t>
      </w:r>
      <w:r w:rsidR="00CB5DD2" w:rsidRPr="00E81A99">
        <w:rPr>
          <w:i/>
          <w:iCs/>
          <w:color w:val="BF4E14" w:themeColor="accent2" w:themeShade="BF"/>
        </w:rPr>
        <w:t>d</w:t>
      </w:r>
      <w:r w:rsidR="00E81A99" w:rsidRPr="00E81A99">
        <w:rPr>
          <w:i/>
          <w:iCs/>
          <w:color w:val="BF4E14" w:themeColor="accent2" w:themeShade="BF"/>
        </w:rPr>
        <w:t>écrire le mandat et la législation applicable</w:t>
      </w:r>
      <w:r w:rsidR="00CB5DD2" w:rsidRPr="00E81A99">
        <w:t>]</w:t>
      </w:r>
    </w:p>
    <w:p w14:paraId="231EED8E" w14:textId="0B12C3BD" w:rsidR="00CB5DD2" w:rsidRPr="00E81A99" w:rsidRDefault="00A83229" w:rsidP="00CB5DD2">
      <w:pPr>
        <w:pStyle w:val="ListParagraph"/>
        <w:numPr>
          <w:ilvl w:val="0"/>
          <w:numId w:val="9"/>
        </w:numPr>
        <w:spacing w:line="240" w:lineRule="auto"/>
      </w:pPr>
      <w:r w:rsidRPr="00E81A99">
        <w:t>[</w:t>
      </w:r>
      <w:r w:rsidRPr="00E81A99">
        <w:rPr>
          <w:i/>
          <w:iCs/>
          <w:color w:val="BF4E14" w:themeColor="accent2" w:themeShade="BF"/>
        </w:rPr>
        <w:t>R</w:t>
      </w:r>
      <w:r w:rsidR="00E81A99" w:rsidRPr="00E81A99">
        <w:rPr>
          <w:i/>
          <w:iCs/>
          <w:color w:val="BF4E14" w:themeColor="accent2" w:themeShade="BF"/>
        </w:rPr>
        <w:t>é</w:t>
      </w:r>
      <w:r w:rsidRPr="00E81A99">
        <w:rPr>
          <w:i/>
          <w:iCs/>
          <w:color w:val="BF4E14" w:themeColor="accent2" w:themeShade="BF"/>
        </w:rPr>
        <w:t>gulat</w:t>
      </w:r>
      <w:r w:rsidR="00E81A99" w:rsidRPr="00E81A99">
        <w:rPr>
          <w:i/>
          <w:iCs/>
          <w:color w:val="BF4E14" w:themeColor="accent2" w:themeShade="BF"/>
        </w:rPr>
        <w:t>eu</w:t>
      </w:r>
      <w:r w:rsidRPr="00E81A99">
        <w:rPr>
          <w:i/>
          <w:iCs/>
          <w:color w:val="BF4E14" w:themeColor="accent2" w:themeShade="BF"/>
        </w:rPr>
        <w:t>r</w:t>
      </w:r>
      <w:r w:rsidRPr="00E81A99">
        <w:t>]</w:t>
      </w:r>
      <w:r w:rsidR="00CB5DD2" w:rsidRPr="00E81A99">
        <w:t xml:space="preserve"> </w:t>
      </w:r>
      <w:r w:rsidR="00E81A99" w:rsidRPr="00E81A99">
        <w:t>est</w:t>
      </w:r>
      <w:r w:rsidR="00CB5DD2" w:rsidRPr="00E81A99">
        <w:t xml:space="preserve"> [</w:t>
      </w:r>
      <w:r w:rsidR="00E81A99" w:rsidRPr="00E81A99">
        <w:rPr>
          <w:i/>
          <w:iCs/>
          <w:color w:val="BF4E14" w:themeColor="accent2" w:themeShade="BF"/>
        </w:rPr>
        <w:t>décrire le mandat et la législation applicable</w:t>
      </w:r>
      <w:r w:rsidR="00CB5DD2" w:rsidRPr="00E81A99">
        <w:t>]</w:t>
      </w:r>
    </w:p>
    <w:p w14:paraId="748C3387" w14:textId="0939A288" w:rsidR="00CB5DD2" w:rsidRPr="00E81A99" w:rsidRDefault="00A83229" w:rsidP="00CB5DD2">
      <w:pPr>
        <w:pStyle w:val="ListParagraph"/>
        <w:numPr>
          <w:ilvl w:val="0"/>
          <w:numId w:val="9"/>
        </w:numPr>
        <w:spacing w:line="240" w:lineRule="auto"/>
      </w:pPr>
      <w:r w:rsidRPr="00E81A99">
        <w:t>[</w:t>
      </w:r>
      <w:r w:rsidR="00E81A99" w:rsidRPr="00E81A99">
        <w:rPr>
          <w:i/>
          <w:iCs/>
          <w:color w:val="BF4E14" w:themeColor="accent2" w:themeShade="BF"/>
        </w:rPr>
        <w:t>OTM</w:t>
      </w:r>
      <w:r w:rsidRPr="00E81A99">
        <w:rPr>
          <w:i/>
          <w:iCs/>
          <w:color w:val="BF4E14" w:themeColor="accent2" w:themeShade="BF"/>
        </w:rPr>
        <w:t xml:space="preserve"> 1</w:t>
      </w:r>
      <w:r w:rsidRPr="00E81A99">
        <w:t xml:space="preserve">] </w:t>
      </w:r>
      <w:r w:rsidR="00E81A99" w:rsidRPr="00E81A99">
        <w:t>est une entreprise de télécommunications basée en</w:t>
      </w:r>
      <w:r w:rsidR="00CB5DD2" w:rsidRPr="00E81A99">
        <w:t xml:space="preserve"> </w:t>
      </w:r>
      <w:r w:rsidRPr="00E81A99">
        <w:rPr>
          <w:color w:val="BF4E14" w:themeColor="accent2" w:themeShade="BF"/>
        </w:rPr>
        <w:t>[</w:t>
      </w:r>
      <w:r w:rsidR="00E81A99" w:rsidRPr="00E81A99">
        <w:rPr>
          <w:i/>
          <w:iCs/>
          <w:color w:val="BF4E14" w:themeColor="accent2" w:themeShade="BF"/>
        </w:rPr>
        <w:t>Nom du pays</w:t>
      </w:r>
      <w:r w:rsidRPr="00E81A99">
        <w:rPr>
          <w:color w:val="BF4E14" w:themeColor="accent2" w:themeShade="BF"/>
        </w:rPr>
        <w:t>]</w:t>
      </w:r>
      <w:r w:rsidRPr="00E81A99">
        <w:t xml:space="preserve"> </w:t>
      </w:r>
      <w:r w:rsidR="00E81A99" w:rsidRPr="00E81A99">
        <w:t>qui accepte de fournir des données d’Opérateur de Téléphonie Mobile (ci-après, « données OTM ») à</w:t>
      </w:r>
      <w:r w:rsidR="00CB5DD2" w:rsidRPr="00E81A99">
        <w:t xml:space="preserve"> </w:t>
      </w:r>
      <w:r w:rsidRPr="00E81A99">
        <w:rPr>
          <w:color w:val="BF4E14" w:themeColor="accent2" w:themeShade="BF"/>
        </w:rPr>
        <w:t>[</w:t>
      </w:r>
      <w:r w:rsidR="00E81A99" w:rsidRPr="00E81A99">
        <w:rPr>
          <w:color w:val="BF4E14" w:themeColor="accent2" w:themeShade="BF"/>
        </w:rPr>
        <w:t>INS ou Régulateur</w:t>
      </w:r>
      <w:r w:rsidRPr="00E81A99">
        <w:rPr>
          <w:color w:val="BF4E14" w:themeColor="accent2" w:themeShade="BF"/>
        </w:rPr>
        <w:t xml:space="preserve">] </w:t>
      </w:r>
      <w:r w:rsidR="00E81A99" w:rsidRPr="00E81A99">
        <w:t>conformément au présent Accord</w:t>
      </w:r>
    </w:p>
    <w:p w14:paraId="41A1C52B" w14:textId="66159333" w:rsidR="00CB5DD2" w:rsidRPr="00E81A99" w:rsidRDefault="00CB5DD2" w:rsidP="00CB5DD2">
      <w:pPr>
        <w:pStyle w:val="ListParagraph"/>
        <w:numPr>
          <w:ilvl w:val="0"/>
          <w:numId w:val="9"/>
        </w:numPr>
        <w:spacing w:line="240" w:lineRule="auto"/>
      </w:pPr>
      <w:r w:rsidRPr="00E81A99">
        <w:rPr>
          <w:color w:val="BF4E14" w:themeColor="accent2" w:themeShade="BF"/>
        </w:rPr>
        <w:t>[</w:t>
      </w:r>
      <w:proofErr w:type="gramStart"/>
      <w:r w:rsidR="00E81A99" w:rsidRPr="00E81A99">
        <w:rPr>
          <w:i/>
          <w:iCs/>
          <w:color w:val="BF4E14" w:themeColor="accent2" w:themeShade="BF"/>
        </w:rPr>
        <w:t>autres</w:t>
      </w:r>
      <w:proofErr w:type="gramEnd"/>
      <w:r w:rsidR="00E81A99" w:rsidRPr="00E81A99">
        <w:rPr>
          <w:i/>
          <w:iCs/>
          <w:color w:val="BF4E14" w:themeColor="accent2" w:themeShade="BF"/>
        </w:rPr>
        <w:t xml:space="preserve"> OTM</w:t>
      </w:r>
      <w:r w:rsidRPr="00E81A99">
        <w:rPr>
          <w:color w:val="BF4E14" w:themeColor="accent2" w:themeShade="BF"/>
        </w:rPr>
        <w:t>]</w:t>
      </w:r>
    </w:p>
    <w:p w14:paraId="7615D7A9" w14:textId="42FEE483" w:rsidR="00CB5DD2" w:rsidRPr="00E81A99" w:rsidRDefault="00E81A99" w:rsidP="00CB5DD2">
      <w:pPr>
        <w:pStyle w:val="ListParagraph"/>
        <w:numPr>
          <w:ilvl w:val="0"/>
          <w:numId w:val="9"/>
        </w:numPr>
        <w:spacing w:line="240" w:lineRule="auto"/>
        <w:rPr>
          <w:b/>
          <w:bCs/>
        </w:rPr>
      </w:pPr>
      <w:r w:rsidRPr="00E81A99">
        <w:t>Les Parties ont convenu de collaborer à la mise en place d’un pipeline de données durable intégrant les données OTM au système statistique national, afin de soutenir les politiques publiques pour un développement inclusif en</w:t>
      </w:r>
      <w:r w:rsidR="00CB5DD2" w:rsidRPr="00E81A99">
        <w:t xml:space="preserve"> </w:t>
      </w:r>
      <w:r w:rsidR="00A83229" w:rsidRPr="00E81A99">
        <w:rPr>
          <w:color w:val="BF4E14" w:themeColor="accent2" w:themeShade="BF"/>
        </w:rPr>
        <w:t>[</w:t>
      </w:r>
      <w:r w:rsidRPr="00E81A99">
        <w:rPr>
          <w:i/>
          <w:iCs/>
          <w:color w:val="BF4E14" w:themeColor="accent2" w:themeShade="BF"/>
        </w:rPr>
        <w:t>Nom du pays</w:t>
      </w:r>
      <w:r w:rsidR="00A83229" w:rsidRPr="00E81A99">
        <w:rPr>
          <w:color w:val="BF4E14" w:themeColor="accent2" w:themeShade="BF"/>
        </w:rPr>
        <w:t>]</w:t>
      </w:r>
      <w:r w:rsidR="00CB5DD2" w:rsidRPr="00E81A99">
        <w:t>. (</w:t>
      </w:r>
      <w:r w:rsidRPr="00E81A99">
        <w:t>Le</w:t>
      </w:r>
      <w:r w:rsidR="00CB5DD2" w:rsidRPr="00E81A99">
        <w:t xml:space="preserve"> “</w:t>
      </w:r>
      <w:r w:rsidR="00CB5DD2" w:rsidRPr="00E81A99">
        <w:rPr>
          <w:b/>
          <w:bCs/>
        </w:rPr>
        <w:t>Projet</w:t>
      </w:r>
      <w:r w:rsidR="00CB5DD2" w:rsidRPr="00E81A99">
        <w:t>”)</w:t>
      </w:r>
    </w:p>
    <w:p w14:paraId="3EFF74D1" w14:textId="26DB0CF6" w:rsidR="00CB5DD2" w:rsidRPr="00E81A99" w:rsidRDefault="00E81A99" w:rsidP="00CB5DD2">
      <w:pPr>
        <w:pStyle w:val="ListParagraph"/>
        <w:numPr>
          <w:ilvl w:val="0"/>
          <w:numId w:val="9"/>
        </w:numPr>
        <w:spacing w:line="240" w:lineRule="auto"/>
        <w:rPr>
          <w:b/>
          <w:bCs/>
        </w:rPr>
      </w:pPr>
      <w:r w:rsidRPr="00E81A99">
        <w:t xml:space="preserve">Le présent </w:t>
      </w:r>
      <w:r w:rsidRPr="00E81A99">
        <w:t>A</w:t>
      </w:r>
      <w:r w:rsidRPr="00E81A99">
        <w:t>ccord définit les modalités et conditions dans lesquelles les Parties conviennent de collaborer</w:t>
      </w:r>
      <w:r w:rsidR="00CB5DD2" w:rsidRPr="00E81A99">
        <w:t>.</w:t>
      </w:r>
    </w:p>
    <w:p w14:paraId="69314AAB" w14:textId="4C3E944F" w:rsidR="00CB5DD2" w:rsidRPr="00E81A99" w:rsidRDefault="00E81A99" w:rsidP="00CB5DD2">
      <w:pPr>
        <w:spacing w:line="240" w:lineRule="auto"/>
        <w:rPr>
          <w:b/>
          <w:bCs/>
        </w:rPr>
      </w:pPr>
      <w:r w:rsidRPr="00E81A99">
        <w:rPr>
          <w:b/>
          <w:bCs/>
        </w:rPr>
        <w:t xml:space="preserve">Les Parties conviennent de ce qui </w:t>
      </w:r>
      <w:proofErr w:type="gramStart"/>
      <w:r w:rsidRPr="00E81A99">
        <w:rPr>
          <w:b/>
          <w:bCs/>
        </w:rPr>
        <w:t>suit</w:t>
      </w:r>
      <w:r w:rsidR="00CB5DD2" w:rsidRPr="00E81A99">
        <w:rPr>
          <w:b/>
          <w:bCs/>
        </w:rPr>
        <w:t>:</w:t>
      </w:r>
      <w:proofErr w:type="gramEnd"/>
    </w:p>
    <w:p w14:paraId="230A6CAC" w14:textId="6A9F9DB4" w:rsidR="00CB5DD2" w:rsidRPr="00E81A99" w:rsidRDefault="00CB5DD2" w:rsidP="00A83229">
      <w:pPr>
        <w:pStyle w:val="Heading1"/>
      </w:pPr>
      <w:r w:rsidRPr="00E81A99">
        <w:lastRenderedPageBreak/>
        <w:t>Objecti</w:t>
      </w:r>
      <w:r w:rsidR="00E81A99" w:rsidRPr="00E81A99">
        <w:t>f</w:t>
      </w:r>
      <w:r w:rsidRPr="00E81A99">
        <w:t>s</w:t>
      </w:r>
    </w:p>
    <w:p w14:paraId="7FF93733" w14:textId="4C7A4749" w:rsidR="00FD42A5" w:rsidRPr="00E81A99" w:rsidRDefault="0044652C" w:rsidP="00017148">
      <w:pPr>
        <w:pStyle w:val="Heading2"/>
      </w:pPr>
      <w:bookmarkStart w:id="1" w:name="_Ref197095334"/>
      <w:r w:rsidRPr="00E81A99">
        <w:rPr>
          <w:color w:val="BF4E14" w:themeColor="accent2" w:themeShade="BF"/>
        </w:rPr>
        <w:t>[</w:t>
      </w:r>
      <w:r w:rsidR="00E81A99" w:rsidRPr="00E81A99">
        <w:rPr>
          <w:i/>
          <w:iCs/>
          <w:color w:val="BF4E14" w:themeColor="accent2" w:themeShade="BF"/>
        </w:rPr>
        <w:t xml:space="preserve">Objectif </w:t>
      </w:r>
      <w:proofErr w:type="spellStart"/>
      <w:r w:rsidR="00E81A99" w:rsidRPr="00E81A99">
        <w:rPr>
          <w:i/>
          <w:iCs/>
          <w:color w:val="BF4E14" w:themeColor="accent2" w:themeShade="BF"/>
        </w:rPr>
        <w:t>general</w:t>
      </w:r>
      <w:proofErr w:type="spellEnd"/>
      <w:r w:rsidR="00E81A99" w:rsidRPr="00E81A99">
        <w:rPr>
          <w:i/>
          <w:iCs/>
          <w:color w:val="BF4E14" w:themeColor="accent2" w:themeShade="BF"/>
        </w:rPr>
        <w:t xml:space="preserve"> de l’initiative à l’origine du Protocole d’Accord</w:t>
      </w:r>
      <w:r w:rsidRPr="00E81A99">
        <w:rPr>
          <w:color w:val="BF4E14" w:themeColor="accent2" w:themeShade="BF"/>
        </w:rPr>
        <w:t>]</w:t>
      </w:r>
      <w:bookmarkEnd w:id="1"/>
      <w:r w:rsidR="00FD42A5" w:rsidRPr="00E81A99">
        <w:rPr>
          <w:color w:val="BF4E14" w:themeColor="accent2" w:themeShade="BF"/>
        </w:rPr>
        <w:t xml:space="preserve"> </w:t>
      </w:r>
    </w:p>
    <w:p w14:paraId="039EE0E8" w14:textId="50F821EF" w:rsidR="0044652C" w:rsidRPr="00E81A99" w:rsidRDefault="00FD42A5" w:rsidP="00FD42A5">
      <w:pPr>
        <w:pStyle w:val="Heading2"/>
        <w:numPr>
          <w:ilvl w:val="0"/>
          <w:numId w:val="0"/>
        </w:numPr>
        <w:ind w:left="576"/>
      </w:pPr>
      <w:r w:rsidRPr="00E81A99">
        <w:rPr>
          <w:i/>
          <w:iCs/>
          <w:color w:val="3A7C22" w:themeColor="accent6" w:themeShade="BF"/>
          <w:u w:val="single"/>
        </w:rPr>
        <w:t>Ex</w:t>
      </w:r>
      <w:r w:rsidR="00E81A99" w:rsidRPr="00E81A99">
        <w:rPr>
          <w:i/>
          <w:iCs/>
          <w:color w:val="3A7C22" w:themeColor="accent6" w:themeShade="BF"/>
          <w:u w:val="single"/>
        </w:rPr>
        <w:t>e</w:t>
      </w:r>
      <w:r w:rsidRPr="00E81A99">
        <w:rPr>
          <w:i/>
          <w:iCs/>
          <w:color w:val="3A7C22" w:themeColor="accent6" w:themeShade="BF"/>
          <w:u w:val="single"/>
        </w:rPr>
        <w:t>mple</w:t>
      </w:r>
      <w:r w:rsidR="00E81A99" w:rsidRPr="00E81A99">
        <w:rPr>
          <w:i/>
          <w:iCs/>
          <w:color w:val="3A7C22" w:themeColor="accent6" w:themeShade="BF"/>
          <w:u w:val="single"/>
        </w:rPr>
        <w:t> :</w:t>
      </w:r>
      <w:r w:rsidRPr="00E81A99">
        <w:rPr>
          <w:i/>
          <w:iCs/>
          <w:color w:val="3A7C22" w:themeColor="accent6" w:themeShade="BF"/>
        </w:rPr>
        <w:t xml:space="preserve"> </w:t>
      </w:r>
      <w:r w:rsidR="00E81A99" w:rsidRPr="00E81A99">
        <w:rPr>
          <w:i/>
          <w:iCs/>
          <w:color w:val="3A7C22" w:themeColor="accent6" w:themeShade="BF"/>
        </w:rPr>
        <w:t>Le Projet vise à améliorer la production en temps utile de statistiques et d’indicateurs pertinents dérivés des données OTM, et à les intégrer au système statistique national. Ces statistiques et indicateurs serviront à éclairer les décisions publiques dans les domaines socioéconomiques, de la migration, du tourisme, et d’autres aspects clés du développement national</w:t>
      </w:r>
      <w:r w:rsidRPr="00E81A99">
        <w:rPr>
          <w:i/>
          <w:iCs/>
          <w:color w:val="3A7C22" w:themeColor="accent6" w:themeShade="BF"/>
        </w:rPr>
        <w:t>.</w:t>
      </w:r>
    </w:p>
    <w:p w14:paraId="498E856F" w14:textId="16EE7A0E" w:rsidR="002D5113" w:rsidRPr="00E81A99" w:rsidRDefault="002D5113" w:rsidP="00CB5DD2">
      <w:pPr>
        <w:pStyle w:val="Heading1"/>
      </w:pPr>
      <w:bookmarkStart w:id="2" w:name="_Ref197081094"/>
      <w:r w:rsidRPr="00E81A99">
        <w:t>D</w:t>
      </w:r>
      <w:r w:rsidR="00E81A99" w:rsidRPr="00E81A99">
        <w:t>é</w:t>
      </w:r>
      <w:r w:rsidRPr="00E81A99">
        <w:t>finitions</w:t>
      </w:r>
      <w:bookmarkEnd w:id="2"/>
    </w:p>
    <w:p w14:paraId="54DBFFC9" w14:textId="7AD2DDCC" w:rsidR="002D5113" w:rsidRPr="00E81A99" w:rsidRDefault="00E81A99" w:rsidP="00FD42A5">
      <w:pPr>
        <w:pStyle w:val="Heading2"/>
      </w:pPr>
      <w:r w:rsidRPr="00E81A99">
        <w:rPr>
          <w:b/>
          <w:bCs/>
        </w:rPr>
        <w:t xml:space="preserve">Données </w:t>
      </w:r>
      <w:proofErr w:type="gramStart"/>
      <w:r w:rsidRPr="00E81A99">
        <w:rPr>
          <w:b/>
          <w:bCs/>
        </w:rPr>
        <w:t>OTM</w:t>
      </w:r>
      <w:r w:rsidR="002D75E7" w:rsidRPr="00E81A99">
        <w:t>:</w:t>
      </w:r>
      <w:proofErr w:type="gramEnd"/>
      <w:r w:rsidR="002D75E7" w:rsidRPr="00E81A99">
        <w:t xml:space="preserve"> </w:t>
      </w:r>
      <w:r w:rsidRPr="00E81A99">
        <w:t xml:space="preserve">données générées par l’utilisation de services de télécommunications mobiles et collectées par les OTM. Cela comprend </w:t>
      </w:r>
      <w:r w:rsidRPr="00E81A99">
        <w:t xml:space="preserve">principalement </w:t>
      </w:r>
      <w:r w:rsidRPr="00E81A99">
        <w:t xml:space="preserve">les données d’événements comme les </w:t>
      </w:r>
      <w:r w:rsidRPr="00E81A99">
        <w:rPr>
          <w:i/>
          <w:iCs/>
        </w:rPr>
        <w:t xml:space="preserve">Call </w:t>
      </w:r>
      <w:proofErr w:type="spellStart"/>
      <w:r w:rsidRPr="00E81A99">
        <w:rPr>
          <w:i/>
          <w:iCs/>
        </w:rPr>
        <w:t>Detail</w:t>
      </w:r>
      <w:proofErr w:type="spellEnd"/>
      <w:r w:rsidRPr="00E81A99">
        <w:rPr>
          <w:i/>
          <w:iCs/>
        </w:rPr>
        <w:t xml:space="preserve"> Records</w:t>
      </w:r>
      <w:r w:rsidRPr="00E81A99">
        <w:t xml:space="preserve"> (CDR), les données de signalisation </w:t>
      </w:r>
      <w:r w:rsidRPr="00E81A99">
        <w:t xml:space="preserve">et </w:t>
      </w:r>
      <w:r w:rsidRPr="00E81A99">
        <w:t>les données réseau (caractéristiques physiques des antennes</w:t>
      </w:r>
      <w:r w:rsidRPr="00E81A99">
        <w:t>)</w:t>
      </w:r>
      <w:r w:rsidRPr="00E81A99">
        <w:t>.</w:t>
      </w:r>
      <w:r w:rsidR="00090E5A" w:rsidRPr="00E81A99">
        <w:t xml:space="preserve"> </w:t>
      </w:r>
    </w:p>
    <w:p w14:paraId="148BEEB7" w14:textId="1D4C5C98" w:rsidR="002D75E7" w:rsidRPr="00217256" w:rsidRDefault="00E81A99" w:rsidP="00FD42A5">
      <w:pPr>
        <w:pStyle w:val="Heading2"/>
      </w:pPr>
      <w:r w:rsidRPr="00217256">
        <w:rPr>
          <w:b/>
          <w:bCs/>
        </w:rPr>
        <w:t xml:space="preserve">Données « nano » de niveau </w:t>
      </w:r>
      <w:proofErr w:type="gramStart"/>
      <w:r w:rsidRPr="00217256">
        <w:rPr>
          <w:b/>
          <w:bCs/>
        </w:rPr>
        <w:t>I</w:t>
      </w:r>
      <w:r w:rsidR="00090E5A" w:rsidRPr="00217256">
        <w:t>:</w:t>
      </w:r>
      <w:proofErr w:type="gramEnd"/>
      <w:r w:rsidR="00090E5A" w:rsidRPr="00217256">
        <w:t xml:space="preserve"> </w:t>
      </w:r>
      <w:r w:rsidRPr="00217256">
        <w:t>données</w:t>
      </w:r>
      <w:r w:rsidR="00217256" w:rsidRPr="00217256">
        <w:t xml:space="preserve"> OTM</w:t>
      </w:r>
      <w:r w:rsidRPr="00217256">
        <w:t xml:space="preserve"> brutes </w:t>
      </w:r>
      <w:r w:rsidR="00217256" w:rsidRPr="00217256">
        <w:t xml:space="preserve">(CDR ou données de signalisation) </w:t>
      </w:r>
      <w:r w:rsidRPr="00217256">
        <w:t>au niveau événement</w:t>
      </w:r>
      <w:r w:rsidR="00217256" w:rsidRPr="00217256">
        <w:t xml:space="preserve"> (par exemple, un appel reçu ou un SMS envoyé)</w:t>
      </w:r>
      <w:r w:rsidRPr="00217256">
        <w:t>, comprenant au minimum</w:t>
      </w:r>
      <w:r w:rsidR="00217256">
        <w:t> :</w:t>
      </w:r>
      <w:r w:rsidR="00090E5A" w:rsidRPr="00217256">
        <w:t xml:space="preserve"> (i) </w:t>
      </w:r>
      <w:r w:rsidR="00217256" w:rsidRPr="00217256">
        <w:t>un identifiant de l’appareil ou de la carte SIM, (ii) un horodatage de l’événement, (iii) un identifiant d</w:t>
      </w:r>
      <w:r w:rsidR="00217256">
        <w:t>e l’</w:t>
      </w:r>
      <w:r w:rsidR="00217256" w:rsidRPr="00217256">
        <w:t>antenne</w:t>
      </w:r>
      <w:r w:rsidR="00217256">
        <w:t xml:space="preserve"> ayant traité l’événement</w:t>
      </w:r>
      <w:r w:rsidR="00090E5A" w:rsidRPr="00217256">
        <w:t>.</w:t>
      </w:r>
    </w:p>
    <w:p w14:paraId="18C34374" w14:textId="17DA9958" w:rsidR="002D75E7" w:rsidRPr="00E81A99" w:rsidRDefault="00217256" w:rsidP="00FD42A5">
      <w:pPr>
        <w:pStyle w:val="Heading2"/>
      </w:pPr>
      <w:r w:rsidRPr="00217256">
        <w:rPr>
          <w:b/>
          <w:bCs/>
        </w:rPr>
        <w:t>Données « </w:t>
      </w:r>
      <w:r>
        <w:rPr>
          <w:b/>
          <w:bCs/>
        </w:rPr>
        <w:t>micro</w:t>
      </w:r>
      <w:r w:rsidRPr="00217256">
        <w:rPr>
          <w:b/>
          <w:bCs/>
        </w:rPr>
        <w:t> » de niveau I</w:t>
      </w:r>
      <w:r>
        <w:rPr>
          <w:b/>
          <w:bCs/>
        </w:rPr>
        <w:t> :</w:t>
      </w:r>
      <w:r w:rsidR="001A3794" w:rsidRPr="00E81A99">
        <w:t xml:space="preserve"> </w:t>
      </w:r>
      <w:r>
        <w:t>mesures agrégées au niveau appareil mobile (ou carte SIM) sur une période donnée, construites à partir des données « nano » de niveau I (ex. : nombre d’appels reçus pour chaque appareil, sur une période donnée de 24h).</w:t>
      </w:r>
    </w:p>
    <w:p w14:paraId="7FC7375A" w14:textId="0EB4776C" w:rsidR="002D75E7" w:rsidRPr="00217256" w:rsidRDefault="00217256" w:rsidP="00FD42A5">
      <w:pPr>
        <w:pStyle w:val="Heading2"/>
      </w:pPr>
      <w:r w:rsidRPr="00217256">
        <w:rPr>
          <w:b/>
          <w:bCs/>
        </w:rPr>
        <w:t>Données de niveau II </w:t>
      </w:r>
      <w:r w:rsidRPr="00217256">
        <w:t>:</w:t>
      </w:r>
      <w:r w:rsidR="001A3794" w:rsidRPr="00217256">
        <w:t xml:space="preserve"> </w:t>
      </w:r>
      <w:r w:rsidRPr="00217256">
        <w:t>mesures agrégées spatialement et temporellement issues d’un seul OTM, excluant toute information personnelle</w:t>
      </w:r>
      <w:r>
        <w:t xml:space="preserve"> (ex. : nombre d’appels total reçus dans une région donnée, sur une période de 24h)</w:t>
      </w:r>
      <w:r w:rsidR="004D226B" w:rsidRPr="00217256">
        <w:t>.</w:t>
      </w:r>
    </w:p>
    <w:p w14:paraId="4A129757" w14:textId="44D4C254" w:rsidR="000272B7" w:rsidRPr="008F03B1" w:rsidRDefault="00217256" w:rsidP="00FD42A5">
      <w:pPr>
        <w:pStyle w:val="Heading2"/>
      </w:pPr>
      <w:r w:rsidRPr="008F03B1">
        <w:rPr>
          <w:b/>
          <w:bCs/>
        </w:rPr>
        <w:t>Données de niveau I</w:t>
      </w:r>
      <w:r w:rsidRPr="008F03B1">
        <w:rPr>
          <w:b/>
          <w:bCs/>
        </w:rPr>
        <w:t>I</w:t>
      </w:r>
      <w:r w:rsidRPr="008F03B1">
        <w:rPr>
          <w:b/>
          <w:bCs/>
        </w:rPr>
        <w:t>I </w:t>
      </w:r>
      <w:r w:rsidRPr="008F03B1">
        <w:t xml:space="preserve">: </w:t>
      </w:r>
      <w:r w:rsidR="008F03B1" w:rsidRPr="008F03B1">
        <w:t>statistiques sur une population cible</w:t>
      </w:r>
      <w:r w:rsidR="008F03B1">
        <w:t xml:space="preserve"> bien définie</w:t>
      </w:r>
      <w:r w:rsidR="008F03B1" w:rsidRPr="008F03B1">
        <w:t>, issues de la combinaison de données de niveau II (d’un ou plusieurs OTM) et de données externes</w:t>
      </w:r>
      <w:r w:rsidR="001A3794" w:rsidRPr="008F03B1">
        <w:t>.</w:t>
      </w:r>
    </w:p>
    <w:p w14:paraId="6CEEB72C" w14:textId="39B8E169" w:rsidR="002D75E7" w:rsidRPr="00217256" w:rsidRDefault="000272B7" w:rsidP="00FD42A5">
      <w:pPr>
        <w:pStyle w:val="Heading2"/>
      </w:pPr>
      <w:r w:rsidRPr="00217256">
        <w:rPr>
          <w:b/>
          <w:bCs/>
        </w:rPr>
        <w:t>Indicat</w:t>
      </w:r>
      <w:r w:rsidR="008F03B1">
        <w:rPr>
          <w:b/>
          <w:bCs/>
        </w:rPr>
        <w:t>eu</w:t>
      </w:r>
      <w:r w:rsidRPr="00217256">
        <w:rPr>
          <w:b/>
          <w:bCs/>
        </w:rPr>
        <w:t>r</w:t>
      </w:r>
      <w:r w:rsidR="008F03B1">
        <w:rPr>
          <w:b/>
          <w:bCs/>
        </w:rPr>
        <w:t> :</w:t>
      </w:r>
      <w:r w:rsidRPr="00217256">
        <w:t xml:space="preserve"> </w:t>
      </w:r>
      <w:r w:rsidR="008F03B1" w:rsidRPr="008F03B1">
        <w:t xml:space="preserve">toute mesure agrégée issue des données </w:t>
      </w:r>
      <w:r w:rsidR="008F03B1">
        <w:t>« </w:t>
      </w:r>
      <w:r w:rsidR="008F03B1" w:rsidRPr="008F03B1">
        <w:t>nano</w:t>
      </w:r>
      <w:r w:rsidR="008F03B1">
        <w:t> »</w:t>
      </w:r>
      <w:r w:rsidR="008F03B1" w:rsidRPr="008F03B1">
        <w:t xml:space="preserve"> de niveau I, soit de type micro</w:t>
      </w:r>
      <w:r w:rsidR="008F03B1">
        <w:t xml:space="preserve"> de niveau I</w:t>
      </w:r>
      <w:r w:rsidR="008F03B1" w:rsidRPr="008F03B1">
        <w:t>,</w:t>
      </w:r>
      <w:r w:rsidR="008F03B1">
        <w:t xml:space="preserve"> soit de</w:t>
      </w:r>
      <w:r w:rsidR="008F03B1" w:rsidRPr="008F03B1">
        <w:t xml:space="preserve"> niveau II ou</w:t>
      </w:r>
      <w:r w:rsidR="008F03B1">
        <w:t xml:space="preserve"> de niveau</w:t>
      </w:r>
      <w:r w:rsidR="008F03B1" w:rsidRPr="008F03B1">
        <w:t xml:space="preserve"> III</w:t>
      </w:r>
      <w:r w:rsidRPr="00217256">
        <w:t>.</w:t>
      </w:r>
    </w:p>
    <w:p w14:paraId="78BB9CA3" w14:textId="1C0E2755" w:rsidR="00CB5DD2" w:rsidRPr="00E81A99" w:rsidRDefault="008F03B1" w:rsidP="00CB5DD2">
      <w:pPr>
        <w:pStyle w:val="Heading1"/>
      </w:pPr>
      <w:r>
        <w:t>Objet du Protocole d’Accord</w:t>
      </w:r>
    </w:p>
    <w:p w14:paraId="5075149F" w14:textId="29C2A5FA" w:rsidR="00CB5DD2" w:rsidRPr="008F03B1" w:rsidRDefault="008F03B1" w:rsidP="00CB5DD2">
      <w:pPr>
        <w:pStyle w:val="Heading2"/>
      </w:pPr>
      <w:r w:rsidRPr="008F03B1">
        <w:t>Le pr</w:t>
      </w:r>
      <w:r>
        <w:t>é</w:t>
      </w:r>
      <w:r w:rsidRPr="008F03B1">
        <w:t>sent Protocole d’Accord (PA) établit une collaboration formelle entre</w:t>
      </w:r>
      <w:r w:rsidR="0044652C" w:rsidRPr="008F03B1">
        <w:t xml:space="preserve"> </w:t>
      </w:r>
      <w:r w:rsidR="0044652C" w:rsidRPr="008F03B1">
        <w:rPr>
          <w:color w:val="BF4E14" w:themeColor="accent2" w:themeShade="BF"/>
        </w:rPr>
        <w:t>[</w:t>
      </w:r>
      <w:r w:rsidRPr="008F03B1">
        <w:rPr>
          <w:color w:val="BF4E14" w:themeColor="accent2" w:themeShade="BF"/>
        </w:rPr>
        <w:t>INS</w:t>
      </w:r>
      <w:r w:rsidR="0044652C" w:rsidRPr="008F03B1">
        <w:rPr>
          <w:color w:val="BF4E14" w:themeColor="accent2" w:themeShade="BF"/>
        </w:rPr>
        <w:t>]</w:t>
      </w:r>
      <w:r w:rsidR="00CB5DD2" w:rsidRPr="008F03B1">
        <w:t xml:space="preserve">, </w:t>
      </w:r>
      <w:r w:rsidR="0044652C" w:rsidRPr="008F03B1">
        <w:rPr>
          <w:color w:val="BF4E14" w:themeColor="accent2" w:themeShade="BF"/>
        </w:rPr>
        <w:t>[</w:t>
      </w:r>
      <w:r w:rsidR="0044652C" w:rsidRPr="008F03B1">
        <w:rPr>
          <w:i/>
          <w:iCs/>
          <w:color w:val="BF4E14" w:themeColor="accent2" w:themeShade="BF"/>
        </w:rPr>
        <w:t>R</w:t>
      </w:r>
      <w:r w:rsidRPr="008F03B1">
        <w:rPr>
          <w:i/>
          <w:iCs/>
          <w:color w:val="BF4E14" w:themeColor="accent2" w:themeShade="BF"/>
        </w:rPr>
        <w:t>é</w:t>
      </w:r>
      <w:r w:rsidR="0044652C" w:rsidRPr="008F03B1">
        <w:rPr>
          <w:i/>
          <w:iCs/>
          <w:color w:val="BF4E14" w:themeColor="accent2" w:themeShade="BF"/>
        </w:rPr>
        <w:t>gulat</w:t>
      </w:r>
      <w:r w:rsidRPr="008F03B1">
        <w:rPr>
          <w:i/>
          <w:iCs/>
          <w:color w:val="BF4E14" w:themeColor="accent2" w:themeShade="BF"/>
        </w:rPr>
        <w:t>eu</w:t>
      </w:r>
      <w:r w:rsidR="0044652C" w:rsidRPr="008F03B1">
        <w:rPr>
          <w:i/>
          <w:iCs/>
          <w:color w:val="BF4E14" w:themeColor="accent2" w:themeShade="BF"/>
        </w:rPr>
        <w:t>r</w:t>
      </w:r>
      <w:r w:rsidR="0044652C" w:rsidRPr="008F03B1">
        <w:rPr>
          <w:color w:val="BF4E14" w:themeColor="accent2" w:themeShade="BF"/>
        </w:rPr>
        <w:t>]</w:t>
      </w:r>
      <w:r w:rsidR="0044652C" w:rsidRPr="008F03B1">
        <w:t xml:space="preserve"> </w:t>
      </w:r>
      <w:r w:rsidRPr="008F03B1">
        <w:t>et</w:t>
      </w:r>
      <w:r w:rsidR="00CB5DD2" w:rsidRPr="008F03B1">
        <w:t xml:space="preserve"> </w:t>
      </w:r>
      <w:r w:rsidR="00017148" w:rsidRPr="008F03B1">
        <w:rPr>
          <w:i/>
          <w:iCs/>
          <w:color w:val="BF4E14" w:themeColor="accent2" w:themeShade="BF"/>
        </w:rPr>
        <w:t>[</w:t>
      </w:r>
      <w:r w:rsidRPr="008F03B1">
        <w:rPr>
          <w:i/>
          <w:iCs/>
          <w:color w:val="BF4E14" w:themeColor="accent2" w:themeShade="BF"/>
        </w:rPr>
        <w:t>OTM</w:t>
      </w:r>
      <w:r w:rsidR="00017148" w:rsidRPr="008F03B1">
        <w:rPr>
          <w:i/>
          <w:iCs/>
          <w:color w:val="BF4E14" w:themeColor="accent2" w:themeShade="BF"/>
        </w:rPr>
        <w:t xml:space="preserve"> 1 o</w:t>
      </w:r>
      <w:r w:rsidRPr="008F03B1">
        <w:rPr>
          <w:i/>
          <w:iCs/>
          <w:color w:val="BF4E14" w:themeColor="accent2" w:themeShade="BF"/>
        </w:rPr>
        <w:t>u</w:t>
      </w:r>
      <w:r w:rsidR="00017148" w:rsidRPr="008F03B1">
        <w:rPr>
          <w:i/>
          <w:iCs/>
          <w:color w:val="BF4E14" w:themeColor="accent2" w:themeShade="BF"/>
        </w:rPr>
        <w:t xml:space="preserve"> </w:t>
      </w:r>
      <w:r w:rsidRPr="008F03B1">
        <w:rPr>
          <w:i/>
          <w:iCs/>
          <w:color w:val="BF4E14" w:themeColor="accent2" w:themeShade="BF"/>
        </w:rPr>
        <w:t xml:space="preserve">les </w:t>
      </w:r>
      <w:proofErr w:type="spellStart"/>
      <w:r w:rsidRPr="008F03B1">
        <w:rPr>
          <w:i/>
          <w:iCs/>
          <w:color w:val="BF4E14" w:themeColor="accent2" w:themeShade="BF"/>
        </w:rPr>
        <w:t>OTM</w:t>
      </w:r>
      <w:r w:rsidR="00017148" w:rsidRPr="008F03B1">
        <w:rPr>
          <w:i/>
          <w:iCs/>
          <w:color w:val="BF4E14" w:themeColor="accent2" w:themeShade="BF"/>
        </w:rPr>
        <w:t>s</w:t>
      </w:r>
      <w:proofErr w:type="spellEnd"/>
      <w:r w:rsidR="00017148" w:rsidRPr="008F03B1">
        <w:rPr>
          <w:i/>
          <w:iCs/>
          <w:color w:val="BF4E14" w:themeColor="accent2" w:themeShade="BF"/>
        </w:rPr>
        <w:t>]</w:t>
      </w:r>
      <w:r w:rsidR="00017148" w:rsidRPr="008F03B1">
        <w:rPr>
          <w:color w:val="BF4E14" w:themeColor="accent2" w:themeShade="BF"/>
        </w:rPr>
        <w:t xml:space="preserve"> </w:t>
      </w:r>
      <w:r w:rsidRPr="008F03B1">
        <w:t>pour l’intégration des données OTM dans le</w:t>
      </w:r>
      <w:r>
        <w:t xml:space="preserve"> système statistique national de</w:t>
      </w:r>
      <w:r w:rsidR="0044652C" w:rsidRPr="008F03B1">
        <w:t xml:space="preserve"> </w:t>
      </w:r>
      <w:r w:rsidR="0044652C" w:rsidRPr="008F03B1">
        <w:rPr>
          <w:i/>
          <w:iCs/>
          <w:color w:val="BF4E14" w:themeColor="accent2" w:themeShade="BF"/>
        </w:rPr>
        <w:t>[</w:t>
      </w:r>
      <w:r>
        <w:rPr>
          <w:i/>
          <w:iCs/>
          <w:color w:val="BF4E14" w:themeColor="accent2" w:themeShade="BF"/>
        </w:rPr>
        <w:t>Nom du pays</w:t>
      </w:r>
      <w:r w:rsidR="0044652C" w:rsidRPr="008F03B1">
        <w:rPr>
          <w:i/>
          <w:iCs/>
          <w:color w:val="BF4E14" w:themeColor="accent2" w:themeShade="BF"/>
        </w:rPr>
        <w:t>]</w:t>
      </w:r>
      <w:r w:rsidR="00CB5DD2" w:rsidRPr="008F03B1">
        <w:t xml:space="preserve">, </w:t>
      </w:r>
      <w:r w:rsidRPr="008F03B1">
        <w:t>conformément aux objectifs énoncés dans</w:t>
      </w:r>
      <w:r w:rsidR="00017148" w:rsidRPr="008F03B1">
        <w:t xml:space="preserve"> </w:t>
      </w:r>
      <w:r w:rsidR="00017148" w:rsidRPr="008F03B1">
        <w:rPr>
          <w:color w:val="BF4E14" w:themeColor="accent2" w:themeShade="BF"/>
        </w:rPr>
        <w:t>[</w:t>
      </w:r>
      <w:r w:rsidRPr="008F03B1">
        <w:rPr>
          <w:i/>
          <w:iCs/>
          <w:color w:val="BF4E14" w:themeColor="accent2" w:themeShade="BF"/>
        </w:rPr>
        <w:t xml:space="preserve">le dernier document </w:t>
      </w:r>
      <w:r>
        <w:rPr>
          <w:i/>
          <w:iCs/>
          <w:color w:val="BF4E14" w:themeColor="accent2" w:themeShade="BF"/>
        </w:rPr>
        <w:t>fixant la</w:t>
      </w:r>
      <w:r w:rsidRPr="008F03B1">
        <w:rPr>
          <w:i/>
          <w:iCs/>
          <w:color w:val="BF4E14" w:themeColor="accent2" w:themeShade="BF"/>
        </w:rPr>
        <w:t xml:space="preserve"> Stratégie Nationale de Développement de la Statistique</w:t>
      </w:r>
      <w:r w:rsidR="00017148" w:rsidRPr="008F03B1">
        <w:rPr>
          <w:color w:val="BF4E14" w:themeColor="accent2" w:themeShade="BF"/>
        </w:rPr>
        <w:t>]</w:t>
      </w:r>
      <w:r w:rsidR="00CB5DD2" w:rsidRPr="008F03B1">
        <w:t xml:space="preserve">. </w:t>
      </w:r>
    </w:p>
    <w:p w14:paraId="36A4F7E5" w14:textId="6842D46A" w:rsidR="00CB5DD2" w:rsidRPr="00E81A99" w:rsidRDefault="008F03B1" w:rsidP="00CB5DD2">
      <w:pPr>
        <w:pStyle w:val="Heading2"/>
      </w:pPr>
      <w:r>
        <w:t>Le présent PA prévoit :</w:t>
      </w:r>
    </w:p>
    <w:p w14:paraId="71C6E7C0" w14:textId="7ABFA529" w:rsidR="00CB5DD2" w:rsidRPr="00E81A99" w:rsidRDefault="008F03B1" w:rsidP="00FD42A5">
      <w:pPr>
        <w:pStyle w:val="Heading3"/>
      </w:pPr>
      <w:r w:rsidRPr="008F03B1">
        <w:lastRenderedPageBreak/>
        <w:t>Le développement d’un pipeline de données durable facilitant le partage et le traitement des données OTM collectées par les OTM, afin de les transformer en informations utiles à la décision publique</w:t>
      </w:r>
      <w:r>
        <w:t> ;</w:t>
      </w:r>
    </w:p>
    <w:p w14:paraId="76B5AF9A" w14:textId="396D58E9" w:rsidR="00CB5DD2" w:rsidRPr="008F03B1" w:rsidRDefault="008F03B1" w:rsidP="00FD42A5">
      <w:pPr>
        <w:pStyle w:val="Heading3"/>
      </w:pPr>
      <w:r w:rsidRPr="008F03B1">
        <w:t>La mise en place d’un cadre de gouvernance assurant le développement du pipeline de données et sa durabilité à long terme</w:t>
      </w:r>
      <w:r>
        <w:t> ;</w:t>
      </w:r>
    </w:p>
    <w:p w14:paraId="331E94B7" w14:textId="662B2465" w:rsidR="00CB5DD2" w:rsidRPr="008F03B1" w:rsidRDefault="008F03B1" w:rsidP="00FD42A5">
      <w:pPr>
        <w:pStyle w:val="Heading3"/>
      </w:pPr>
      <w:r w:rsidRPr="008F03B1">
        <w:t>La mise en œuvre de garanties de protection des données</w:t>
      </w:r>
      <w:r>
        <w:t xml:space="preserve"> et de la vie privée</w:t>
      </w:r>
      <w:r w:rsidRPr="008F03B1">
        <w:t xml:space="preserve"> tout au long du cycle de traitement, y compris durant le transfert et le traitement des données OTM à tous les niveaux de granularité</w:t>
      </w:r>
      <w:r>
        <w:t> ;</w:t>
      </w:r>
    </w:p>
    <w:p w14:paraId="373C0E5E" w14:textId="4A84F999" w:rsidR="00CB5DD2" w:rsidRPr="008F03B1" w:rsidRDefault="008F03B1" w:rsidP="00FD42A5">
      <w:pPr>
        <w:pStyle w:val="Heading3"/>
      </w:pPr>
      <w:r w:rsidRPr="008F03B1">
        <w:t>La définition de procédures et mécanismes transparents régissant le transfert, l’accès et le traitement des données OTM ainsi que la diffusion des indicateurs agrégés issus de ces données</w:t>
      </w:r>
      <w:r>
        <w:t> ;</w:t>
      </w:r>
    </w:p>
    <w:p w14:paraId="5382CB89" w14:textId="6E88F7C8" w:rsidR="00FC66B9" w:rsidRPr="0056432A" w:rsidRDefault="008F03B1" w:rsidP="00FD42A5">
      <w:pPr>
        <w:pStyle w:val="Heading3"/>
      </w:pPr>
      <w:r w:rsidRPr="0056432A">
        <w:t>La préparation d’un cadre de collaboration entre</w:t>
      </w:r>
      <w:r w:rsidR="00FC66B9" w:rsidRPr="0056432A">
        <w:t xml:space="preserve"> </w:t>
      </w:r>
      <w:r w:rsidR="00FC66B9" w:rsidRPr="0056432A">
        <w:rPr>
          <w:i/>
          <w:iCs/>
          <w:color w:val="BF4E14" w:themeColor="accent2" w:themeShade="BF"/>
        </w:rPr>
        <w:t>[</w:t>
      </w:r>
      <w:r w:rsidRPr="0056432A">
        <w:rPr>
          <w:i/>
          <w:iCs/>
          <w:color w:val="BF4E14" w:themeColor="accent2" w:themeShade="BF"/>
        </w:rPr>
        <w:t xml:space="preserve">OTM 1 ou </w:t>
      </w:r>
      <w:proofErr w:type="spellStart"/>
      <w:r w:rsidRPr="0056432A">
        <w:rPr>
          <w:i/>
          <w:iCs/>
          <w:color w:val="BF4E14" w:themeColor="accent2" w:themeShade="BF"/>
        </w:rPr>
        <w:t>OTMs</w:t>
      </w:r>
      <w:proofErr w:type="spellEnd"/>
      <w:r w:rsidR="00FC66B9" w:rsidRPr="0056432A">
        <w:rPr>
          <w:i/>
          <w:iCs/>
          <w:color w:val="BF4E14" w:themeColor="accent2" w:themeShade="BF"/>
        </w:rPr>
        <w:t>]</w:t>
      </w:r>
      <w:r w:rsidR="00FC66B9" w:rsidRPr="0056432A">
        <w:t xml:space="preserve">, </w:t>
      </w:r>
      <w:r w:rsidR="00FC66B9" w:rsidRPr="0056432A">
        <w:rPr>
          <w:color w:val="BF4E14" w:themeColor="accent2" w:themeShade="BF"/>
        </w:rPr>
        <w:t>[</w:t>
      </w:r>
      <w:r w:rsidRPr="0056432A">
        <w:rPr>
          <w:i/>
          <w:iCs/>
          <w:color w:val="BF4E14" w:themeColor="accent2" w:themeShade="BF"/>
        </w:rPr>
        <w:t>INS</w:t>
      </w:r>
      <w:r w:rsidR="00FC66B9" w:rsidRPr="0056432A">
        <w:rPr>
          <w:color w:val="BF4E14" w:themeColor="accent2" w:themeShade="BF"/>
        </w:rPr>
        <w:t>]</w:t>
      </w:r>
      <w:r w:rsidRPr="0056432A">
        <w:t xml:space="preserve"> et, le cas échéant, des partenaires techniques externes, axé sur la recherche et le partage de connaissances en lien avec les données OTM. Cette collaboration </w:t>
      </w:r>
      <w:r w:rsidR="0056432A" w:rsidRPr="0056432A">
        <w:t>sera formalisée par un accord distinct.</w:t>
      </w:r>
      <w:r w:rsidR="00FC66B9" w:rsidRPr="0056432A">
        <w:t xml:space="preserve"> </w:t>
      </w:r>
      <w:r w:rsidR="00FC66B9" w:rsidRPr="0056432A">
        <w:rPr>
          <w:i/>
          <w:iCs/>
          <w:color w:val="0070C0"/>
        </w:rPr>
        <w:t>[</w:t>
      </w:r>
      <w:r w:rsidR="0056432A" w:rsidRPr="0056432A">
        <w:rPr>
          <w:i/>
          <w:iCs/>
          <w:color w:val="0070C0"/>
        </w:rPr>
        <w:t>Clause facultative mais fortement recommandée pour renforcer les capacités des entités gouvernementales et des OTM</w:t>
      </w:r>
      <w:r w:rsidR="00FC66B9" w:rsidRPr="0056432A">
        <w:rPr>
          <w:i/>
          <w:iCs/>
          <w:color w:val="0070C0"/>
        </w:rPr>
        <w:t>.]</w:t>
      </w:r>
    </w:p>
    <w:bookmarkEnd w:id="0"/>
    <w:p w14:paraId="15FFF67B" w14:textId="4F7F92D2" w:rsidR="00CB5DD2" w:rsidRPr="00E81A99" w:rsidRDefault="0056432A" w:rsidP="00CB5DD2">
      <w:pPr>
        <w:pStyle w:val="Heading1"/>
      </w:pPr>
      <w:r>
        <w:t>Durée et entrée en vigueur</w:t>
      </w:r>
    </w:p>
    <w:p w14:paraId="179F875B" w14:textId="693FD835" w:rsidR="00CB5DD2" w:rsidRPr="0056432A" w:rsidRDefault="0056432A" w:rsidP="00CB5DD2">
      <w:pPr>
        <w:pStyle w:val="Heading2"/>
      </w:pPr>
      <w:bookmarkStart w:id="3" w:name="_Ref189153344"/>
      <w:r w:rsidRPr="0056432A">
        <w:t>Le présent PA reste en vigueur pour une durée de</w:t>
      </w:r>
      <w:r w:rsidR="00CB5DD2" w:rsidRPr="0056432A">
        <w:t xml:space="preserve"> </w:t>
      </w:r>
      <w:r w:rsidR="00017148" w:rsidRPr="0056432A">
        <w:rPr>
          <w:color w:val="BF4E14" w:themeColor="accent2" w:themeShade="BF"/>
        </w:rPr>
        <w:t>[</w:t>
      </w:r>
      <w:r w:rsidRPr="0056432A">
        <w:rPr>
          <w:i/>
          <w:iCs/>
          <w:color w:val="BF4E14" w:themeColor="accent2" w:themeShade="BF"/>
        </w:rPr>
        <w:t>nombre</w:t>
      </w:r>
      <w:r>
        <w:rPr>
          <w:i/>
          <w:iCs/>
          <w:color w:val="BF4E14" w:themeColor="accent2" w:themeShade="BF"/>
        </w:rPr>
        <w:t xml:space="preserve"> d’années</w:t>
      </w:r>
      <w:r w:rsidR="00017148" w:rsidRPr="0056432A">
        <w:rPr>
          <w:color w:val="BF4E14" w:themeColor="accent2" w:themeShade="BF"/>
        </w:rPr>
        <w:t>]</w:t>
      </w:r>
      <w:r w:rsidR="00CB5DD2" w:rsidRPr="0056432A">
        <w:t xml:space="preserve"> </w:t>
      </w:r>
      <w:r w:rsidRPr="0056432A">
        <w:t>ans</w:t>
      </w:r>
      <w:r w:rsidR="00CB5DD2" w:rsidRPr="0056432A">
        <w:t xml:space="preserve"> </w:t>
      </w:r>
      <w:r w:rsidRPr="0056432A">
        <w:t>à compter de la date de signature par les Parties, sauf résiliation anticipée conformément aux dispositions de la clause</w:t>
      </w:r>
      <w:r>
        <w:t xml:space="preserve"> </w:t>
      </w:r>
      <w:r w:rsidR="00624EB6" w:rsidRPr="00E81A99">
        <w:fldChar w:fldCharType="begin"/>
      </w:r>
      <w:r w:rsidR="00624EB6" w:rsidRPr="0056432A">
        <w:instrText xml:space="preserve"> REF _Ref189153780 \r \h </w:instrText>
      </w:r>
      <w:r w:rsidR="00624EB6" w:rsidRPr="00E81A99">
        <w:fldChar w:fldCharType="separate"/>
      </w:r>
      <w:r w:rsidR="00FB7BE7" w:rsidRPr="0056432A">
        <w:t>5</w:t>
      </w:r>
      <w:r w:rsidR="00624EB6" w:rsidRPr="00E81A99">
        <w:fldChar w:fldCharType="end"/>
      </w:r>
      <w:r w:rsidR="00CB5DD2" w:rsidRPr="0056432A">
        <w:t>.</w:t>
      </w:r>
      <w:bookmarkEnd w:id="3"/>
    </w:p>
    <w:p w14:paraId="5E186A26" w14:textId="0ABDE68A" w:rsidR="00CB5DD2" w:rsidRPr="00E81A99" w:rsidRDefault="0056432A" w:rsidP="00CB5DD2">
      <w:pPr>
        <w:pStyle w:val="Heading2"/>
      </w:pPr>
      <w:r w:rsidRPr="0056432A">
        <w:t>Toute Partie souhaitant prolonger ou renouveler l’Accord devra notifier par écrit son intention aux autres Parties</w:t>
      </w:r>
      <w:r w:rsidR="00CB5DD2" w:rsidRPr="00E81A99">
        <w:t>.</w:t>
      </w:r>
    </w:p>
    <w:p w14:paraId="69AD2791" w14:textId="2C1A66BF" w:rsidR="00CB5DD2" w:rsidRPr="00E81A99" w:rsidRDefault="0056432A" w:rsidP="00CB5DD2">
      <w:pPr>
        <w:pStyle w:val="Heading1"/>
      </w:pPr>
      <w:r>
        <w:t>Résiliation</w:t>
      </w:r>
    </w:p>
    <w:p w14:paraId="32D3D7DE" w14:textId="4EF7F444" w:rsidR="00CB5DD2" w:rsidRPr="0056432A" w:rsidRDefault="0056432A" w:rsidP="00CB5DD2">
      <w:pPr>
        <w:pStyle w:val="Heading2"/>
      </w:pPr>
      <w:r w:rsidRPr="0056432A">
        <w:t>Toute Partie peut résilier le présent accord immédiatement en cas de</w:t>
      </w:r>
      <w:r>
        <w:t> :</w:t>
      </w:r>
    </w:p>
    <w:p w14:paraId="040D3299" w14:textId="4E77CF68" w:rsidR="00CB5DD2" w:rsidRPr="00E81A99" w:rsidRDefault="00CB5DD2" w:rsidP="00CB5DD2">
      <w:pPr>
        <w:pStyle w:val="Heading3"/>
      </w:pPr>
      <w:r w:rsidRPr="00E81A99">
        <w:rPr>
          <w:color w:val="BF4E14" w:themeColor="accent2" w:themeShade="BF"/>
        </w:rPr>
        <w:t>[</w:t>
      </w:r>
      <w:proofErr w:type="gramStart"/>
      <w:r w:rsidR="0056432A">
        <w:rPr>
          <w:i/>
          <w:iCs/>
          <w:color w:val="BF4E14" w:themeColor="accent2" w:themeShade="BF"/>
        </w:rPr>
        <w:t>motif</w:t>
      </w:r>
      <w:proofErr w:type="gramEnd"/>
      <w:r w:rsidR="0056432A">
        <w:rPr>
          <w:i/>
          <w:iCs/>
          <w:color w:val="BF4E14" w:themeColor="accent2" w:themeShade="BF"/>
        </w:rPr>
        <w:t xml:space="preserve"> de résiliation</w:t>
      </w:r>
      <w:r w:rsidRPr="00E81A99">
        <w:rPr>
          <w:color w:val="BF4E14" w:themeColor="accent2" w:themeShade="BF"/>
        </w:rPr>
        <w:t>]</w:t>
      </w:r>
    </w:p>
    <w:p w14:paraId="095ACDFC" w14:textId="79BC45F0" w:rsidR="00CB5DD2" w:rsidRPr="00E81A99" w:rsidRDefault="00CB5DD2" w:rsidP="00CB5DD2">
      <w:pPr>
        <w:pStyle w:val="Heading3"/>
      </w:pPr>
      <w:r w:rsidRPr="00E81A99">
        <w:rPr>
          <w:color w:val="BF4E14" w:themeColor="accent2" w:themeShade="BF"/>
        </w:rPr>
        <w:t>[</w:t>
      </w:r>
      <w:proofErr w:type="gramStart"/>
      <w:r w:rsidR="0056432A">
        <w:rPr>
          <w:i/>
          <w:iCs/>
          <w:color w:val="BF4E14" w:themeColor="accent2" w:themeShade="BF"/>
        </w:rPr>
        <w:t>motif</w:t>
      </w:r>
      <w:proofErr w:type="gramEnd"/>
      <w:r w:rsidR="0056432A">
        <w:rPr>
          <w:i/>
          <w:iCs/>
          <w:color w:val="BF4E14" w:themeColor="accent2" w:themeShade="BF"/>
        </w:rPr>
        <w:t xml:space="preserve"> de résiliation</w:t>
      </w:r>
      <w:r w:rsidRPr="00E81A99">
        <w:rPr>
          <w:color w:val="BF4E14" w:themeColor="accent2" w:themeShade="BF"/>
        </w:rPr>
        <w:t>]</w:t>
      </w:r>
    </w:p>
    <w:p w14:paraId="7B9CEB13" w14:textId="6557BDBF" w:rsidR="00CB5DD2" w:rsidRPr="00E81A99" w:rsidRDefault="0056432A" w:rsidP="00CB5DD2">
      <w:pPr>
        <w:pStyle w:val="Heading2"/>
      </w:pPr>
      <w:r w:rsidRPr="0056432A">
        <w:t>Toute Partie peut également résilier l’Accord en adressant aux autres Parties un préavis écrit de</w:t>
      </w:r>
      <w:r w:rsidRPr="0056432A">
        <w:t xml:space="preserve"> </w:t>
      </w:r>
      <w:r w:rsidR="00017148" w:rsidRPr="00E81A99">
        <w:rPr>
          <w:color w:val="BF4E14" w:themeColor="accent2" w:themeShade="BF"/>
        </w:rPr>
        <w:t>[</w:t>
      </w:r>
      <w:r>
        <w:rPr>
          <w:i/>
          <w:iCs/>
          <w:color w:val="BF4E14" w:themeColor="accent2" w:themeShade="BF"/>
        </w:rPr>
        <w:t>nombre de jours</w:t>
      </w:r>
      <w:r w:rsidR="00017148" w:rsidRPr="00E81A99">
        <w:rPr>
          <w:color w:val="BF4E14" w:themeColor="accent2" w:themeShade="BF"/>
        </w:rPr>
        <w:t>]</w:t>
      </w:r>
      <w:r w:rsidR="00017148" w:rsidRPr="00E81A99">
        <w:t xml:space="preserve"> </w:t>
      </w:r>
      <w:r>
        <w:t>jours</w:t>
      </w:r>
      <w:r w:rsidR="00CB5DD2" w:rsidRPr="00E81A99">
        <w:t>.</w:t>
      </w:r>
    </w:p>
    <w:p w14:paraId="4DF33063" w14:textId="683FAA39" w:rsidR="00CB5DD2" w:rsidRPr="00E81A99" w:rsidRDefault="0056432A" w:rsidP="00CB5DD2">
      <w:pPr>
        <w:pStyle w:val="Heading1"/>
      </w:pPr>
      <w:r w:rsidRPr="0056432A">
        <w:t>Rôles et obligations des Parties</w:t>
      </w:r>
    </w:p>
    <w:p w14:paraId="059422CE" w14:textId="502DA404" w:rsidR="00CB5DD2" w:rsidRPr="00E81A99" w:rsidRDefault="00017148" w:rsidP="00CB5DD2">
      <w:pPr>
        <w:pStyle w:val="Heading2"/>
      </w:pPr>
      <w:r w:rsidRPr="00E81A99">
        <w:rPr>
          <w:color w:val="BF4E14" w:themeColor="accent2" w:themeShade="BF"/>
        </w:rPr>
        <w:t>[</w:t>
      </w:r>
      <w:r w:rsidR="0056432A">
        <w:rPr>
          <w:i/>
          <w:iCs/>
          <w:color w:val="BF4E14" w:themeColor="accent2" w:themeShade="BF"/>
        </w:rPr>
        <w:t>INS</w:t>
      </w:r>
      <w:r w:rsidRPr="00E81A99">
        <w:rPr>
          <w:color w:val="BF4E14" w:themeColor="accent2" w:themeShade="BF"/>
        </w:rPr>
        <w:t>]</w:t>
      </w:r>
    </w:p>
    <w:p w14:paraId="1F07EE56" w14:textId="267BD8EC" w:rsidR="00CB5DD2" w:rsidRPr="00E81A99" w:rsidRDefault="00017148" w:rsidP="00E80114">
      <w:pPr>
        <w:pStyle w:val="Heading3"/>
      </w:pPr>
      <w:r w:rsidRPr="00CD4849">
        <w:rPr>
          <w:color w:val="BF4E14" w:themeColor="accent2" w:themeShade="BF"/>
        </w:rPr>
        <w:t>[</w:t>
      </w:r>
      <w:r w:rsidR="0056432A" w:rsidRPr="00CD4849">
        <w:rPr>
          <w:i/>
          <w:iCs/>
          <w:color w:val="BF4E14" w:themeColor="accent2" w:themeShade="BF"/>
        </w:rPr>
        <w:t>INS</w:t>
      </w:r>
      <w:r w:rsidRPr="00CD4849">
        <w:rPr>
          <w:color w:val="BF4E14" w:themeColor="accent2" w:themeShade="BF"/>
        </w:rPr>
        <w:t xml:space="preserve">] </w:t>
      </w:r>
      <w:r w:rsidR="00CD4849" w:rsidRPr="00C01D48">
        <w:t xml:space="preserve">dirigera l’analyse des </w:t>
      </w:r>
      <w:r w:rsidR="00CD4849">
        <w:t>données OTM</w:t>
      </w:r>
      <w:r w:rsidR="00CD4849" w:rsidRPr="00C01D48">
        <w:t xml:space="preserve"> et l'intégration des résultats dans le système statistique national à travers ses rapports et produits statistiques. </w:t>
      </w:r>
      <w:r w:rsidR="00CD4849" w:rsidRPr="00C01D48">
        <w:rPr>
          <w:color w:val="BF4E14" w:themeColor="accent2" w:themeShade="BF"/>
        </w:rPr>
        <w:t>[</w:t>
      </w:r>
      <w:r w:rsidR="00CD4849" w:rsidRPr="00C01D48">
        <w:rPr>
          <w:i/>
          <w:iCs/>
          <w:color w:val="BF4E14" w:themeColor="accent2" w:themeShade="BF"/>
        </w:rPr>
        <w:t>INS</w:t>
      </w:r>
      <w:r w:rsidR="00CD4849" w:rsidRPr="00C01D48">
        <w:rPr>
          <w:color w:val="BF4E14" w:themeColor="accent2" w:themeShade="BF"/>
        </w:rPr>
        <w:t xml:space="preserve">] </w:t>
      </w:r>
      <w:r w:rsidR="00CD4849" w:rsidRPr="00C01D48">
        <w:t xml:space="preserve">veillera à ce que les </w:t>
      </w:r>
      <w:r w:rsidR="00CD4849">
        <w:t>données OTM</w:t>
      </w:r>
      <w:r w:rsidR="00CD4849" w:rsidRPr="00C01D48">
        <w:t xml:space="preserve"> soient utilisées pour produire des données pertinentes </w:t>
      </w:r>
      <w:r w:rsidR="00CD4849">
        <w:t>pour la prise de décision et l’élaboration des politiques publiques</w:t>
      </w:r>
      <w:r w:rsidR="00CD4849" w:rsidRPr="00C01D48">
        <w:t>.</w:t>
      </w:r>
    </w:p>
    <w:p w14:paraId="38E6E59D" w14:textId="1257E9E7" w:rsidR="00017148" w:rsidRPr="00CD4849" w:rsidRDefault="00017148" w:rsidP="00017148">
      <w:pPr>
        <w:pStyle w:val="Heading3"/>
      </w:pPr>
      <w:r w:rsidRPr="00CD4849">
        <w:rPr>
          <w:color w:val="BF4E14" w:themeColor="accent2" w:themeShade="BF"/>
        </w:rPr>
        <w:lastRenderedPageBreak/>
        <w:t>[</w:t>
      </w:r>
      <w:r w:rsidR="00CD4849" w:rsidRPr="00CD4849">
        <w:rPr>
          <w:i/>
          <w:iCs/>
          <w:color w:val="BF4E14" w:themeColor="accent2" w:themeShade="BF"/>
        </w:rPr>
        <w:t>INS</w:t>
      </w:r>
      <w:r w:rsidRPr="00CD4849">
        <w:rPr>
          <w:color w:val="BF4E14" w:themeColor="accent2" w:themeShade="BF"/>
        </w:rPr>
        <w:t xml:space="preserve">] </w:t>
      </w:r>
      <w:r w:rsidR="00CD4849" w:rsidRPr="00CD4849">
        <w:t xml:space="preserve">assurera la qualité et la fiabilité des résultats issus des données OTM via un cadre d’assurance qualité adapté et par l’adoption des méthodes standards appropriées. </w:t>
      </w:r>
      <w:r w:rsidR="00CD4849" w:rsidRPr="00CD4849">
        <w:t>À</w:t>
      </w:r>
      <w:r w:rsidR="00CD4849" w:rsidRPr="00CD4849">
        <w:t xml:space="preserve"> cet égard, </w:t>
      </w:r>
      <w:r w:rsidR="00CD4849" w:rsidRPr="00CD4849">
        <w:rPr>
          <w:color w:val="BF4E14" w:themeColor="accent2" w:themeShade="BF"/>
        </w:rPr>
        <w:t>[</w:t>
      </w:r>
      <w:r w:rsidR="00CD4849" w:rsidRPr="00CD4849">
        <w:rPr>
          <w:i/>
          <w:iCs/>
          <w:color w:val="BF4E14" w:themeColor="accent2" w:themeShade="BF"/>
        </w:rPr>
        <w:t>INS</w:t>
      </w:r>
      <w:r w:rsidR="00CD4849" w:rsidRPr="00CD4849">
        <w:rPr>
          <w:color w:val="BF4E14" w:themeColor="accent2" w:themeShade="BF"/>
        </w:rPr>
        <w:t>]</w:t>
      </w:r>
      <w:r w:rsidR="00CD4849" w:rsidRPr="00CD4849">
        <w:t xml:space="preserve"> </w:t>
      </w:r>
      <w:r w:rsidR="00CD4849" w:rsidRPr="00CD4849">
        <w:t>pourra solliciter au besoin l’appui de partenaires techniques externes de leur choix. Ces partenaires peuvent accéder aux don</w:t>
      </w:r>
      <w:r w:rsidR="00CD4849">
        <w:t>n</w:t>
      </w:r>
      <w:r w:rsidR="00CD4849" w:rsidRPr="00CD4849">
        <w:t>ées OTM via un Accord de Partage de Données Partenaire (APDP), conformément à la procédure établie par la clause</w:t>
      </w:r>
      <w:r w:rsidR="00FB7BE7" w:rsidRPr="00CD4849">
        <w:t xml:space="preserve"> </w:t>
      </w:r>
      <w:r w:rsidR="00FB7BE7" w:rsidRPr="00CD4849">
        <w:fldChar w:fldCharType="begin"/>
      </w:r>
      <w:r w:rsidR="00FB7BE7" w:rsidRPr="00CD4849">
        <w:instrText xml:space="preserve"> REF _Ref200113855 \r \h </w:instrText>
      </w:r>
      <w:r w:rsidR="00FB7BE7" w:rsidRPr="00CD4849">
        <w:fldChar w:fldCharType="separate"/>
      </w:r>
      <w:r w:rsidR="00FB7BE7" w:rsidRPr="00CD4849">
        <w:t>8.2</w:t>
      </w:r>
      <w:r w:rsidR="00FB7BE7" w:rsidRPr="00CD4849">
        <w:fldChar w:fldCharType="end"/>
      </w:r>
      <w:r w:rsidRPr="00CD4849">
        <w:t xml:space="preserve"> </w:t>
      </w:r>
      <w:r w:rsidR="00CD4849" w:rsidRPr="00CD4849">
        <w:t>du présent Accord</w:t>
      </w:r>
      <w:r w:rsidRPr="00CD4849">
        <w:t>.</w:t>
      </w:r>
    </w:p>
    <w:p w14:paraId="4535C89B" w14:textId="6646FBE9" w:rsidR="00A81CB0" w:rsidRPr="00C07753" w:rsidRDefault="00A81CB0" w:rsidP="00A81CB0">
      <w:pPr>
        <w:pStyle w:val="Heading3"/>
      </w:pPr>
      <w:r w:rsidRPr="00CD4849">
        <w:rPr>
          <w:color w:val="BF4E14" w:themeColor="accent2" w:themeShade="BF"/>
        </w:rPr>
        <w:t>[</w:t>
      </w:r>
      <w:r w:rsidR="00CD4849" w:rsidRPr="00CD4849">
        <w:rPr>
          <w:i/>
          <w:iCs/>
          <w:color w:val="BF4E14" w:themeColor="accent2" w:themeShade="BF"/>
        </w:rPr>
        <w:t>INS</w:t>
      </w:r>
      <w:r w:rsidRPr="00CD4849">
        <w:rPr>
          <w:color w:val="BF4E14" w:themeColor="accent2" w:themeShade="BF"/>
        </w:rPr>
        <w:t>]</w:t>
      </w:r>
      <w:r w:rsidRPr="00CD4849">
        <w:t xml:space="preserve"> </w:t>
      </w:r>
      <w:r w:rsidR="00CD4849" w:rsidRPr="00CD4849">
        <w:t>met</w:t>
      </w:r>
      <w:r w:rsidR="00CD4849">
        <w:t>tra</w:t>
      </w:r>
      <w:r w:rsidR="00CD4849" w:rsidRPr="00CD4849">
        <w:t xml:space="preserve"> en place un protocole de transfert sécurisé permettant le transfert des indicateurs du serveur de</w:t>
      </w:r>
      <w:r w:rsidRPr="00CD4849">
        <w:t xml:space="preserve"> </w:t>
      </w:r>
      <w:r w:rsidR="00FB7BE7" w:rsidRPr="00CD4849">
        <w:rPr>
          <w:i/>
          <w:iCs/>
          <w:color w:val="BF4E14" w:themeColor="accent2" w:themeShade="BF"/>
        </w:rPr>
        <w:t>[</w:t>
      </w:r>
      <w:r w:rsidR="00CD4849">
        <w:rPr>
          <w:i/>
          <w:iCs/>
          <w:color w:val="BF4E14" w:themeColor="accent2" w:themeShade="BF"/>
        </w:rPr>
        <w:t>OTM</w:t>
      </w:r>
      <w:r w:rsidR="00FB7BE7" w:rsidRPr="00CD4849">
        <w:rPr>
          <w:i/>
          <w:iCs/>
          <w:color w:val="BF4E14" w:themeColor="accent2" w:themeShade="BF"/>
        </w:rPr>
        <w:t xml:space="preserve"> 1 o</w:t>
      </w:r>
      <w:r w:rsidR="00CD4849">
        <w:rPr>
          <w:i/>
          <w:iCs/>
          <w:color w:val="BF4E14" w:themeColor="accent2" w:themeShade="BF"/>
        </w:rPr>
        <w:t>u</w:t>
      </w:r>
      <w:r w:rsidR="00FB7BE7" w:rsidRPr="00CD4849">
        <w:rPr>
          <w:i/>
          <w:iCs/>
          <w:color w:val="BF4E14" w:themeColor="accent2" w:themeShade="BF"/>
        </w:rPr>
        <w:t xml:space="preserve"> </w:t>
      </w:r>
      <w:proofErr w:type="spellStart"/>
      <w:r w:rsidR="00CD4849">
        <w:rPr>
          <w:i/>
          <w:iCs/>
          <w:color w:val="BF4E14" w:themeColor="accent2" w:themeShade="BF"/>
        </w:rPr>
        <w:t>OTM</w:t>
      </w:r>
      <w:r w:rsidR="00FB7BE7" w:rsidRPr="00CD4849">
        <w:rPr>
          <w:i/>
          <w:iCs/>
          <w:color w:val="BF4E14" w:themeColor="accent2" w:themeShade="BF"/>
        </w:rPr>
        <w:t>s</w:t>
      </w:r>
      <w:proofErr w:type="spellEnd"/>
      <w:r w:rsidR="00FB7BE7" w:rsidRPr="00CD4849">
        <w:rPr>
          <w:i/>
          <w:iCs/>
          <w:color w:val="BF4E14" w:themeColor="accent2" w:themeShade="BF"/>
        </w:rPr>
        <w:t>]</w:t>
      </w:r>
      <w:r w:rsidRPr="00CD4849">
        <w:t xml:space="preserve"> </w:t>
      </w:r>
      <w:r w:rsidR="00CD4849">
        <w:t xml:space="preserve">vers son propre </w:t>
      </w:r>
      <w:r w:rsidRPr="00CD4849">
        <w:t>serve</w:t>
      </w:r>
      <w:r w:rsidR="00CD4849">
        <w:t>u</w:t>
      </w:r>
      <w:r w:rsidRPr="00CD4849">
        <w:t>r.</w:t>
      </w:r>
      <w:r w:rsidR="004605F2" w:rsidRPr="00CD4849">
        <w:rPr>
          <w:i/>
          <w:iCs/>
          <w:color w:val="0070C0"/>
        </w:rPr>
        <w:t xml:space="preserve"> </w:t>
      </w:r>
      <w:r w:rsidR="004605F2" w:rsidRPr="00C07753">
        <w:rPr>
          <w:i/>
          <w:iCs/>
          <w:color w:val="0070C0"/>
        </w:rPr>
        <w:t>[</w:t>
      </w:r>
      <w:r w:rsidR="00CD4849" w:rsidRPr="00C07753">
        <w:rPr>
          <w:i/>
          <w:iCs/>
          <w:color w:val="0070C0"/>
        </w:rPr>
        <w:t>Cette responsabilité peut être déléguée à l’autorité de r</w:t>
      </w:r>
      <w:r w:rsidR="00C07753">
        <w:rPr>
          <w:i/>
          <w:iCs/>
          <w:color w:val="0070C0"/>
        </w:rPr>
        <w:t>é</w:t>
      </w:r>
      <w:r w:rsidR="00CD4849" w:rsidRPr="00C07753">
        <w:rPr>
          <w:i/>
          <w:iCs/>
          <w:color w:val="0070C0"/>
        </w:rPr>
        <w:t>gulation (ou une autre agence gouvernementale)</w:t>
      </w:r>
      <w:r w:rsidR="00C07753" w:rsidRPr="00C07753">
        <w:rPr>
          <w:i/>
          <w:iCs/>
          <w:color w:val="0070C0"/>
        </w:rPr>
        <w:t xml:space="preserve"> selon le co</w:t>
      </w:r>
      <w:r w:rsidR="00C07753">
        <w:rPr>
          <w:i/>
          <w:iCs/>
          <w:color w:val="0070C0"/>
        </w:rPr>
        <w:t>ntexte institutionnel et le mandat des entités gouvernementales concernées</w:t>
      </w:r>
      <w:r w:rsidR="004605F2" w:rsidRPr="00C07753">
        <w:rPr>
          <w:i/>
          <w:iCs/>
          <w:color w:val="0070C0"/>
        </w:rPr>
        <w:t>.]</w:t>
      </w:r>
    </w:p>
    <w:p w14:paraId="3BBAB462" w14:textId="35CED727" w:rsidR="00017148" w:rsidRPr="00C07753" w:rsidRDefault="00017148" w:rsidP="00017148">
      <w:pPr>
        <w:pStyle w:val="Heading3"/>
      </w:pPr>
      <w:r w:rsidRPr="00C07753">
        <w:rPr>
          <w:color w:val="BF4E14" w:themeColor="accent2" w:themeShade="BF"/>
        </w:rPr>
        <w:t>[</w:t>
      </w:r>
      <w:r w:rsidR="00C07753" w:rsidRPr="00C07753">
        <w:rPr>
          <w:i/>
          <w:iCs/>
          <w:color w:val="BF4E14" w:themeColor="accent2" w:themeShade="BF"/>
        </w:rPr>
        <w:t>INS</w:t>
      </w:r>
      <w:r w:rsidRPr="00C07753">
        <w:rPr>
          <w:color w:val="BF4E14" w:themeColor="accent2" w:themeShade="BF"/>
        </w:rPr>
        <w:t xml:space="preserve">] </w:t>
      </w:r>
      <w:r w:rsidR="00C07753" w:rsidRPr="00C01D48">
        <w:t xml:space="preserve">représentera officiellement </w:t>
      </w:r>
      <w:r w:rsidR="00C07753" w:rsidRPr="00C01D48">
        <w:rPr>
          <w:color w:val="BF4E14" w:themeColor="accent2" w:themeShade="BF"/>
        </w:rPr>
        <w:t>[</w:t>
      </w:r>
      <w:r w:rsidR="00C07753" w:rsidRPr="00C01D48">
        <w:rPr>
          <w:i/>
          <w:iCs/>
          <w:color w:val="BF4E14" w:themeColor="accent2" w:themeShade="BF"/>
        </w:rPr>
        <w:t>Nom du pays</w:t>
      </w:r>
      <w:r w:rsidR="00C07753" w:rsidRPr="00C01D48">
        <w:rPr>
          <w:color w:val="BF4E14" w:themeColor="accent2" w:themeShade="BF"/>
        </w:rPr>
        <w:t>]</w:t>
      </w:r>
      <w:r w:rsidR="00C07753" w:rsidRPr="00C01D48">
        <w:t xml:space="preserve"> lors des événements internationaux, discussions et collaborations relatifs aux </w:t>
      </w:r>
      <w:r w:rsidR="00C07753">
        <w:t>données OTM</w:t>
      </w:r>
      <w:r w:rsidR="00C07753" w:rsidRPr="00C01D48">
        <w:t xml:space="preserve"> à des fins statistiques, garantissant l'alignement avec les intérêts nationaux et promouvant les initiatives du pays dans ce </w:t>
      </w:r>
      <w:proofErr w:type="gramStart"/>
      <w:r w:rsidR="00C07753" w:rsidRPr="00C01D48">
        <w:t>domaine.</w:t>
      </w:r>
      <w:r w:rsidRPr="00C07753">
        <w:t>.</w:t>
      </w:r>
      <w:proofErr w:type="gramEnd"/>
    </w:p>
    <w:p w14:paraId="4AE2936B" w14:textId="49028ECA" w:rsidR="0001622B" w:rsidRPr="00E81A99" w:rsidRDefault="00E80114" w:rsidP="0001622B">
      <w:pPr>
        <w:pStyle w:val="Heading3"/>
        <w:rPr>
          <w:i/>
          <w:iCs/>
          <w:color w:val="0070C0"/>
        </w:rPr>
      </w:pPr>
      <w:r w:rsidRPr="00E81A99">
        <w:rPr>
          <w:i/>
          <w:iCs/>
          <w:color w:val="0070C0"/>
        </w:rPr>
        <w:t>[</w:t>
      </w:r>
      <w:r w:rsidR="00C07753" w:rsidRPr="00C07753">
        <w:rPr>
          <w:i/>
          <w:iCs/>
          <w:color w:val="0070C0"/>
        </w:rPr>
        <w:t xml:space="preserve">Clause </w:t>
      </w:r>
      <w:r w:rsidR="00C07753">
        <w:rPr>
          <w:i/>
          <w:iCs/>
          <w:color w:val="0070C0"/>
        </w:rPr>
        <w:t xml:space="preserve">pour </w:t>
      </w:r>
      <w:r w:rsidR="00C07753" w:rsidRPr="00C07753">
        <w:rPr>
          <w:i/>
          <w:iCs/>
          <w:color w:val="0070C0"/>
        </w:rPr>
        <w:t>la création d’une unité au sein de INS dédiée à l’intégration des DTM dans le système statistique national. (OPTIONNEL)</w:t>
      </w:r>
      <w:r w:rsidRPr="00E81A99">
        <w:rPr>
          <w:i/>
          <w:iCs/>
          <w:color w:val="0070C0"/>
        </w:rPr>
        <w:t>]</w:t>
      </w:r>
    </w:p>
    <w:p w14:paraId="0E4F273F" w14:textId="19E89D81" w:rsidR="00CB5DD2" w:rsidRPr="00C07753" w:rsidRDefault="00E80114" w:rsidP="0001622B">
      <w:pPr>
        <w:pStyle w:val="Heading3"/>
        <w:numPr>
          <w:ilvl w:val="0"/>
          <w:numId w:val="0"/>
        </w:numPr>
        <w:ind w:left="720"/>
        <w:rPr>
          <w:i/>
          <w:iCs/>
          <w:color w:val="3A7C22" w:themeColor="accent6" w:themeShade="BF"/>
        </w:rPr>
      </w:pPr>
      <w:r w:rsidRPr="00C07753">
        <w:rPr>
          <w:i/>
          <w:iCs/>
          <w:color w:val="3A7C22" w:themeColor="accent6" w:themeShade="BF"/>
          <w:u w:val="single"/>
        </w:rPr>
        <w:t>Ex</w:t>
      </w:r>
      <w:r w:rsidR="00C07753" w:rsidRPr="00C07753">
        <w:rPr>
          <w:i/>
          <w:iCs/>
          <w:color w:val="3A7C22" w:themeColor="accent6" w:themeShade="BF"/>
          <w:u w:val="single"/>
        </w:rPr>
        <w:t>e</w:t>
      </w:r>
      <w:r w:rsidRPr="00C07753">
        <w:rPr>
          <w:i/>
          <w:iCs/>
          <w:color w:val="3A7C22" w:themeColor="accent6" w:themeShade="BF"/>
          <w:u w:val="single"/>
        </w:rPr>
        <w:t>mple</w:t>
      </w:r>
      <w:r w:rsidR="00C07753" w:rsidRPr="00C07753">
        <w:rPr>
          <w:i/>
          <w:iCs/>
          <w:color w:val="3A7C22" w:themeColor="accent6" w:themeShade="BF"/>
          <w:u w:val="single"/>
        </w:rPr>
        <w:t> :</w:t>
      </w:r>
      <w:r w:rsidR="00C07753" w:rsidRPr="00C07753">
        <w:rPr>
          <w:i/>
          <w:iCs/>
          <w:color w:val="3A7C22" w:themeColor="accent6" w:themeShade="BF"/>
        </w:rPr>
        <w:t xml:space="preserve"> </w:t>
      </w:r>
      <w:r w:rsidRPr="00C07753">
        <w:rPr>
          <w:i/>
          <w:iCs/>
          <w:color w:val="3A7C22" w:themeColor="accent6" w:themeShade="BF"/>
        </w:rPr>
        <w:t>[</w:t>
      </w:r>
      <w:r w:rsidR="00C07753" w:rsidRPr="00C07753">
        <w:rPr>
          <w:i/>
          <w:iCs/>
          <w:color w:val="3A7C22" w:themeColor="accent6" w:themeShade="BF"/>
        </w:rPr>
        <w:t xml:space="preserve">INS] créera une Unité d’Intégration des Données Mobiles (UIDM) en son sein et désignera un coordinateur Big Data </w:t>
      </w:r>
      <w:proofErr w:type="gramStart"/>
      <w:r w:rsidR="00C07753" w:rsidRPr="00C07753">
        <w:rPr>
          <w:i/>
          <w:iCs/>
          <w:color w:val="3A7C22" w:themeColor="accent6" w:themeShade="BF"/>
        </w:rPr>
        <w:t>chargé</w:t>
      </w:r>
      <w:proofErr w:type="gramEnd"/>
      <w:r w:rsidR="00C07753" w:rsidRPr="00C07753">
        <w:rPr>
          <w:i/>
          <w:iCs/>
          <w:color w:val="3A7C22" w:themeColor="accent6" w:themeShade="BF"/>
        </w:rPr>
        <w:t xml:space="preserve"> de coordonner les activités et superviser les opérations liées aux Big Data</w:t>
      </w:r>
      <w:r w:rsidR="00CB5DD2" w:rsidRPr="00C07753">
        <w:rPr>
          <w:i/>
          <w:iCs/>
          <w:color w:val="3A7C22" w:themeColor="accent6" w:themeShade="BF"/>
        </w:rPr>
        <w:t>.</w:t>
      </w:r>
    </w:p>
    <w:p w14:paraId="7A65898A" w14:textId="1079D2BC" w:rsidR="00CB5DD2" w:rsidRPr="00C07753" w:rsidRDefault="00E80114" w:rsidP="00CB5DD2">
      <w:pPr>
        <w:pStyle w:val="Heading2"/>
        <w:spacing w:before="240"/>
        <w:ind w:left="578" w:hanging="578"/>
      </w:pPr>
      <w:r w:rsidRPr="00C07753">
        <w:rPr>
          <w:color w:val="BF4E14" w:themeColor="accent2" w:themeShade="BF"/>
        </w:rPr>
        <w:t>[</w:t>
      </w:r>
      <w:r w:rsidR="00C07753" w:rsidRPr="00C07753">
        <w:rPr>
          <w:i/>
          <w:iCs/>
          <w:color w:val="BF4E14" w:themeColor="accent2" w:themeShade="BF"/>
        </w:rPr>
        <w:t>Régulateur</w:t>
      </w:r>
      <w:r w:rsidRPr="00C07753">
        <w:rPr>
          <w:color w:val="BF4E14" w:themeColor="accent2" w:themeShade="BF"/>
        </w:rPr>
        <w:t>]</w:t>
      </w:r>
    </w:p>
    <w:p w14:paraId="245A6BBB" w14:textId="272DC54B" w:rsidR="00CB5DD2" w:rsidRPr="00C07753" w:rsidRDefault="00E80114" w:rsidP="00CB5DD2">
      <w:pPr>
        <w:pStyle w:val="Heading3"/>
      </w:pPr>
      <w:r w:rsidRPr="00C07753">
        <w:rPr>
          <w:color w:val="BF4E14" w:themeColor="accent2" w:themeShade="BF"/>
        </w:rPr>
        <w:t>[</w:t>
      </w:r>
      <w:r w:rsidR="00C07753" w:rsidRPr="00C07753">
        <w:rPr>
          <w:i/>
          <w:iCs/>
          <w:color w:val="BF4E14" w:themeColor="accent2" w:themeShade="BF"/>
        </w:rPr>
        <w:t>Régulateur</w:t>
      </w:r>
      <w:r w:rsidRPr="00C07753">
        <w:rPr>
          <w:color w:val="BF4E14" w:themeColor="accent2" w:themeShade="BF"/>
        </w:rPr>
        <w:t xml:space="preserve">] </w:t>
      </w:r>
      <w:r w:rsidR="00C07753" w:rsidRPr="00C07753">
        <w:t xml:space="preserve">servira d'intermédiaire réglementaire facilitant la collaboration entre </w:t>
      </w:r>
      <w:r w:rsidRPr="00C07753">
        <w:rPr>
          <w:i/>
          <w:iCs/>
          <w:color w:val="BF4E14" w:themeColor="accent2" w:themeShade="BF"/>
        </w:rPr>
        <w:t>[</w:t>
      </w:r>
      <w:r w:rsidR="00C07753">
        <w:rPr>
          <w:i/>
          <w:iCs/>
          <w:color w:val="BF4E14" w:themeColor="accent2" w:themeShade="BF"/>
        </w:rPr>
        <w:t>OTM</w:t>
      </w:r>
      <w:r w:rsidRPr="00C07753">
        <w:rPr>
          <w:i/>
          <w:iCs/>
          <w:color w:val="BF4E14" w:themeColor="accent2" w:themeShade="BF"/>
        </w:rPr>
        <w:t xml:space="preserve"> 1 o</w:t>
      </w:r>
      <w:r w:rsidR="00C07753">
        <w:rPr>
          <w:i/>
          <w:iCs/>
          <w:color w:val="BF4E14" w:themeColor="accent2" w:themeShade="BF"/>
        </w:rPr>
        <w:t>u</w:t>
      </w:r>
      <w:r w:rsidRPr="00C07753">
        <w:rPr>
          <w:i/>
          <w:iCs/>
          <w:color w:val="BF4E14" w:themeColor="accent2" w:themeShade="BF"/>
        </w:rPr>
        <w:t xml:space="preserve"> </w:t>
      </w:r>
      <w:proofErr w:type="spellStart"/>
      <w:r w:rsidR="00C07753">
        <w:rPr>
          <w:i/>
          <w:iCs/>
          <w:color w:val="BF4E14" w:themeColor="accent2" w:themeShade="BF"/>
        </w:rPr>
        <w:t>OTM</w:t>
      </w:r>
      <w:r w:rsidRPr="00C07753">
        <w:rPr>
          <w:i/>
          <w:iCs/>
          <w:color w:val="BF4E14" w:themeColor="accent2" w:themeShade="BF"/>
        </w:rPr>
        <w:t>s</w:t>
      </w:r>
      <w:proofErr w:type="spellEnd"/>
      <w:r w:rsidRPr="00C07753">
        <w:rPr>
          <w:i/>
          <w:iCs/>
          <w:color w:val="BF4E14" w:themeColor="accent2" w:themeShade="BF"/>
        </w:rPr>
        <w:t>]</w:t>
      </w:r>
      <w:r w:rsidRPr="00C07753">
        <w:t xml:space="preserve"> </w:t>
      </w:r>
      <w:r w:rsidR="00C07753" w:rsidRPr="00C07753">
        <w:t>et</w:t>
      </w:r>
      <w:r w:rsidRPr="00C07753">
        <w:t xml:space="preserve"> </w:t>
      </w:r>
      <w:r w:rsidRPr="00C07753">
        <w:rPr>
          <w:i/>
          <w:iCs/>
          <w:color w:val="BF4E14" w:themeColor="accent2" w:themeShade="BF"/>
        </w:rPr>
        <w:t>[</w:t>
      </w:r>
      <w:r w:rsidR="00C07753">
        <w:rPr>
          <w:i/>
          <w:iCs/>
          <w:color w:val="BF4E14" w:themeColor="accent2" w:themeShade="BF"/>
        </w:rPr>
        <w:t>INS</w:t>
      </w:r>
      <w:r w:rsidRPr="00C07753">
        <w:rPr>
          <w:i/>
          <w:iCs/>
          <w:color w:val="BF4E14" w:themeColor="accent2" w:themeShade="BF"/>
        </w:rPr>
        <w:t>]</w:t>
      </w:r>
      <w:r w:rsidR="00CB5DD2" w:rsidRPr="00C07753">
        <w:t>.</w:t>
      </w:r>
    </w:p>
    <w:p w14:paraId="3BE3B914" w14:textId="2D0FBB61" w:rsidR="00CB5DD2" w:rsidRPr="00C07753" w:rsidRDefault="00E80114" w:rsidP="00145337">
      <w:pPr>
        <w:pStyle w:val="Heading3"/>
      </w:pPr>
      <w:r w:rsidRPr="00C07753">
        <w:rPr>
          <w:color w:val="BF4E14" w:themeColor="accent2" w:themeShade="BF"/>
        </w:rPr>
        <w:t>[</w:t>
      </w:r>
      <w:r w:rsidRPr="00C07753">
        <w:rPr>
          <w:i/>
          <w:iCs/>
          <w:color w:val="BF4E14" w:themeColor="accent2" w:themeShade="BF"/>
        </w:rPr>
        <w:t>R</w:t>
      </w:r>
      <w:r w:rsidR="00C07753" w:rsidRPr="00C07753">
        <w:rPr>
          <w:i/>
          <w:iCs/>
          <w:color w:val="BF4E14" w:themeColor="accent2" w:themeShade="BF"/>
        </w:rPr>
        <w:t>é</w:t>
      </w:r>
      <w:r w:rsidRPr="00C07753">
        <w:rPr>
          <w:i/>
          <w:iCs/>
          <w:color w:val="BF4E14" w:themeColor="accent2" w:themeShade="BF"/>
        </w:rPr>
        <w:t>gulat</w:t>
      </w:r>
      <w:r w:rsidR="00C07753" w:rsidRPr="00C07753">
        <w:rPr>
          <w:i/>
          <w:iCs/>
          <w:color w:val="BF4E14" w:themeColor="accent2" w:themeShade="BF"/>
        </w:rPr>
        <w:t>eu</w:t>
      </w:r>
      <w:r w:rsidRPr="00C07753">
        <w:rPr>
          <w:i/>
          <w:iCs/>
          <w:color w:val="BF4E14" w:themeColor="accent2" w:themeShade="BF"/>
        </w:rPr>
        <w:t>r</w:t>
      </w:r>
      <w:r w:rsidRPr="00C07753">
        <w:rPr>
          <w:color w:val="BF4E14" w:themeColor="accent2" w:themeShade="BF"/>
        </w:rPr>
        <w:t xml:space="preserve">] </w:t>
      </w:r>
      <w:bookmarkStart w:id="4" w:name="_Hlk197433476"/>
      <w:r w:rsidR="00C07753" w:rsidRPr="00C07753">
        <w:t>veille</w:t>
      </w:r>
      <w:r w:rsidR="00C07753">
        <w:t>ra</w:t>
      </w:r>
      <w:r w:rsidR="00C07753" w:rsidRPr="00C07753">
        <w:t xml:space="preserve"> à ce que les protocoles de transfert, </w:t>
      </w:r>
      <w:r w:rsidR="00C07753">
        <w:t xml:space="preserve">les protocoles </w:t>
      </w:r>
      <w:r w:rsidR="00C07753" w:rsidRPr="00C07753">
        <w:t>d’accès</w:t>
      </w:r>
      <w:r w:rsidR="00C07753">
        <w:t>, le cadre d’utilisation des données</w:t>
      </w:r>
      <w:r w:rsidR="00C07753" w:rsidRPr="00C07753">
        <w:t xml:space="preserve"> et les accords de partage de données respectent les lois nationales, régionales et supranationales sur la protection de la vie privée et </w:t>
      </w:r>
      <w:r w:rsidR="00C07753">
        <w:t xml:space="preserve">la sécurité </w:t>
      </w:r>
      <w:r w:rsidR="00C07753" w:rsidRPr="00C07753">
        <w:t>des données</w:t>
      </w:r>
      <w:bookmarkEnd w:id="4"/>
      <w:r w:rsidR="00CB5DD2" w:rsidRPr="00C07753">
        <w:t>.</w:t>
      </w:r>
      <w:r w:rsidR="00C9653E" w:rsidRPr="00C07753">
        <w:t xml:space="preserve"> </w:t>
      </w:r>
      <w:bookmarkStart w:id="5" w:name="_Hlk197433488"/>
      <w:r w:rsidR="004605F2" w:rsidRPr="00C07753">
        <w:rPr>
          <w:i/>
          <w:iCs/>
          <w:color w:val="0070C0"/>
        </w:rPr>
        <w:t>[</w:t>
      </w:r>
      <w:r w:rsidR="00C07753" w:rsidRPr="00C07753">
        <w:rPr>
          <w:i/>
          <w:iCs/>
          <w:color w:val="0070C0"/>
        </w:rPr>
        <w:t>Cette responsabilité pourra être déléguée, le cas échéant, à l’Autorité de Protection des Donn</w:t>
      </w:r>
      <w:r w:rsidR="00C07753">
        <w:rPr>
          <w:i/>
          <w:iCs/>
          <w:color w:val="0070C0"/>
        </w:rPr>
        <w:t>ées si celle-ci est formellement établie dans le pays concerné et possède le mandat approprié.</w:t>
      </w:r>
      <w:r w:rsidR="004605F2" w:rsidRPr="00C07753">
        <w:rPr>
          <w:i/>
          <w:iCs/>
          <w:color w:val="0070C0"/>
        </w:rPr>
        <w:t>]</w:t>
      </w:r>
      <w:bookmarkEnd w:id="5"/>
    </w:p>
    <w:p w14:paraId="2A400D6F" w14:textId="67607B52" w:rsidR="00CB5DD2" w:rsidRPr="00C07753" w:rsidRDefault="00A62E99" w:rsidP="00CB5DD2">
      <w:pPr>
        <w:pStyle w:val="Heading3"/>
      </w:pPr>
      <w:r w:rsidRPr="00C07753">
        <w:rPr>
          <w:color w:val="BF4E14" w:themeColor="accent2" w:themeShade="BF"/>
        </w:rPr>
        <w:t>[</w:t>
      </w:r>
      <w:r w:rsidR="00C07753" w:rsidRPr="00C07753">
        <w:rPr>
          <w:i/>
          <w:iCs/>
          <w:color w:val="BF4E14" w:themeColor="accent2" w:themeShade="BF"/>
        </w:rPr>
        <w:t>Régulateur</w:t>
      </w:r>
      <w:r w:rsidRPr="00C07753">
        <w:rPr>
          <w:color w:val="BF4E14" w:themeColor="accent2" w:themeShade="BF"/>
        </w:rPr>
        <w:t>]</w:t>
      </w:r>
      <w:r w:rsidR="00CB5DD2" w:rsidRPr="00C07753">
        <w:t xml:space="preserve"> </w:t>
      </w:r>
      <w:r w:rsidR="00C07753" w:rsidRPr="00C07753">
        <w:t xml:space="preserve">veillera à l’usage éthique des données OTM afin de protéger la vie privée des </w:t>
      </w:r>
      <w:r w:rsidR="00C07753">
        <w:t>citoyens et de garantir l’usage des données strictement à des fins statistiques et d’appui aux politiques publiques</w:t>
      </w:r>
      <w:r w:rsidR="00CB5DD2" w:rsidRPr="00C07753">
        <w:t>.</w:t>
      </w:r>
    </w:p>
    <w:p w14:paraId="7B04C84D" w14:textId="6494960D" w:rsidR="00CB5DD2" w:rsidRPr="00C07753" w:rsidRDefault="003E76C0" w:rsidP="00CB5DD2">
      <w:pPr>
        <w:pStyle w:val="Heading2"/>
        <w:spacing w:before="240"/>
        <w:ind w:left="578" w:hanging="578"/>
      </w:pPr>
      <w:r w:rsidRPr="00C07753">
        <w:rPr>
          <w:i/>
          <w:iCs/>
          <w:color w:val="BF4E14" w:themeColor="accent2" w:themeShade="BF"/>
        </w:rPr>
        <w:t>[</w:t>
      </w:r>
      <w:r w:rsidR="00C07753">
        <w:rPr>
          <w:i/>
          <w:iCs/>
          <w:color w:val="BF4E14" w:themeColor="accent2" w:themeShade="BF"/>
        </w:rPr>
        <w:t>OTM</w:t>
      </w:r>
      <w:r w:rsidRPr="00C07753">
        <w:rPr>
          <w:i/>
          <w:iCs/>
          <w:color w:val="BF4E14" w:themeColor="accent2" w:themeShade="BF"/>
        </w:rPr>
        <w:t xml:space="preserve"> 1 </w:t>
      </w:r>
      <w:r w:rsidR="00C07753">
        <w:rPr>
          <w:i/>
          <w:iCs/>
          <w:color w:val="BF4E14" w:themeColor="accent2" w:themeShade="BF"/>
        </w:rPr>
        <w:t xml:space="preserve">ou </w:t>
      </w:r>
      <w:proofErr w:type="spellStart"/>
      <w:r w:rsidR="00C07753">
        <w:rPr>
          <w:i/>
          <w:iCs/>
          <w:color w:val="BF4E14" w:themeColor="accent2" w:themeShade="BF"/>
        </w:rPr>
        <w:t>OTMs</w:t>
      </w:r>
      <w:proofErr w:type="spellEnd"/>
      <w:r w:rsidRPr="00C07753">
        <w:rPr>
          <w:i/>
          <w:iCs/>
          <w:color w:val="BF4E14" w:themeColor="accent2" w:themeShade="BF"/>
        </w:rPr>
        <w:t>]</w:t>
      </w:r>
    </w:p>
    <w:p w14:paraId="01851D80" w14:textId="222294E0" w:rsidR="00CB5DD2" w:rsidRPr="00866432" w:rsidRDefault="00866432" w:rsidP="00CB5DD2">
      <w:pPr>
        <w:pStyle w:val="Heading3"/>
      </w:pPr>
      <w:r w:rsidRPr="00866432">
        <w:t>Conformément aux définitions de la claus</w:t>
      </w:r>
      <w:r w:rsidR="003E3A13" w:rsidRPr="00866432">
        <w:t xml:space="preserve">e </w:t>
      </w:r>
      <w:r w:rsidR="003E3A13" w:rsidRPr="00C07753">
        <w:fldChar w:fldCharType="begin"/>
      </w:r>
      <w:r w:rsidR="003E3A13" w:rsidRPr="00866432">
        <w:instrText xml:space="preserve"> REF _Ref197081094 \r \h </w:instrText>
      </w:r>
      <w:r w:rsidR="003E3A13" w:rsidRPr="00C07753">
        <w:fldChar w:fldCharType="separate"/>
      </w:r>
      <w:r w:rsidR="00C51A56" w:rsidRPr="00866432">
        <w:t>2</w:t>
      </w:r>
      <w:r w:rsidR="003E3A13" w:rsidRPr="00C07753">
        <w:fldChar w:fldCharType="end"/>
      </w:r>
      <w:r w:rsidR="003E3A13" w:rsidRPr="00866432">
        <w:t>,</w:t>
      </w:r>
      <w:r w:rsidR="003E3A13" w:rsidRPr="00866432">
        <w:rPr>
          <w:i/>
          <w:iCs/>
        </w:rPr>
        <w:t xml:space="preserve"> </w:t>
      </w:r>
      <w:r w:rsidR="003E76C0" w:rsidRPr="00866432">
        <w:rPr>
          <w:i/>
          <w:iCs/>
          <w:color w:val="BF4E14" w:themeColor="accent2" w:themeShade="BF"/>
        </w:rPr>
        <w:t>[</w:t>
      </w:r>
      <w:r w:rsidRPr="00866432">
        <w:rPr>
          <w:i/>
          <w:iCs/>
          <w:color w:val="BF4E14" w:themeColor="accent2" w:themeShade="BF"/>
        </w:rPr>
        <w:t>OTM</w:t>
      </w:r>
      <w:r w:rsidR="003E76C0" w:rsidRPr="00866432">
        <w:rPr>
          <w:i/>
          <w:iCs/>
          <w:color w:val="BF4E14" w:themeColor="accent2" w:themeShade="BF"/>
        </w:rPr>
        <w:t xml:space="preserve"> 1 o</w:t>
      </w:r>
      <w:r w:rsidRPr="00866432">
        <w:rPr>
          <w:i/>
          <w:iCs/>
          <w:color w:val="BF4E14" w:themeColor="accent2" w:themeShade="BF"/>
        </w:rPr>
        <w:t>u</w:t>
      </w:r>
      <w:r w:rsidR="003E76C0" w:rsidRPr="00866432">
        <w:rPr>
          <w:i/>
          <w:iCs/>
          <w:color w:val="BF4E14" w:themeColor="accent2" w:themeShade="BF"/>
        </w:rPr>
        <w:t xml:space="preserve"> </w:t>
      </w:r>
      <w:proofErr w:type="spellStart"/>
      <w:r w:rsidRPr="00866432">
        <w:rPr>
          <w:i/>
          <w:iCs/>
          <w:color w:val="BF4E14" w:themeColor="accent2" w:themeShade="BF"/>
        </w:rPr>
        <w:t>OTM</w:t>
      </w:r>
      <w:r w:rsidR="003E76C0" w:rsidRPr="00866432">
        <w:rPr>
          <w:i/>
          <w:iCs/>
          <w:color w:val="BF4E14" w:themeColor="accent2" w:themeShade="BF"/>
        </w:rPr>
        <w:t>s</w:t>
      </w:r>
      <w:proofErr w:type="spellEnd"/>
      <w:r w:rsidR="003E76C0" w:rsidRPr="00866432">
        <w:rPr>
          <w:i/>
          <w:iCs/>
          <w:color w:val="BF4E14" w:themeColor="accent2" w:themeShade="BF"/>
        </w:rPr>
        <w:t>]</w:t>
      </w:r>
      <w:r w:rsidR="00CB5DD2" w:rsidRPr="00866432">
        <w:t xml:space="preserve"> </w:t>
      </w:r>
      <w:r w:rsidRPr="00866432">
        <w:t>assurera la collecte et le stock</w:t>
      </w:r>
      <w:r>
        <w:t>a</w:t>
      </w:r>
      <w:r w:rsidRPr="00866432">
        <w:t>ge des données nano de niveau I, et fournira un accès au serveur concerné selon les spécifications techniques défi</w:t>
      </w:r>
      <w:r>
        <w:t>nies dans un Accord de Partage de Données (APD) dédié, et selon les conditions établies dans le présent Accord.</w:t>
      </w:r>
    </w:p>
    <w:p w14:paraId="54C23ED0" w14:textId="139AC7E5" w:rsidR="007D6FDE" w:rsidRPr="00866432" w:rsidRDefault="007D6FDE" w:rsidP="007D6FDE">
      <w:pPr>
        <w:pStyle w:val="Heading3"/>
      </w:pPr>
      <w:r w:rsidRPr="00866432">
        <w:rPr>
          <w:i/>
          <w:iCs/>
          <w:color w:val="BF4E14" w:themeColor="accent2" w:themeShade="BF"/>
        </w:rPr>
        <w:lastRenderedPageBreak/>
        <w:t>[</w:t>
      </w:r>
      <w:r w:rsidR="00866432" w:rsidRPr="00866432">
        <w:rPr>
          <w:i/>
          <w:iCs/>
          <w:color w:val="BF4E14" w:themeColor="accent2" w:themeShade="BF"/>
        </w:rPr>
        <w:t xml:space="preserve">OTM 1 ou </w:t>
      </w:r>
      <w:proofErr w:type="spellStart"/>
      <w:r w:rsidR="00866432" w:rsidRPr="00866432">
        <w:rPr>
          <w:i/>
          <w:iCs/>
          <w:color w:val="BF4E14" w:themeColor="accent2" w:themeShade="BF"/>
        </w:rPr>
        <w:t>OTMs</w:t>
      </w:r>
      <w:proofErr w:type="spellEnd"/>
      <w:r w:rsidRPr="00866432">
        <w:rPr>
          <w:i/>
          <w:iCs/>
          <w:color w:val="BF4E14" w:themeColor="accent2" w:themeShade="BF"/>
        </w:rPr>
        <w:t>]</w:t>
      </w:r>
      <w:r w:rsidRPr="00866432">
        <w:t xml:space="preserve"> </w:t>
      </w:r>
      <w:r w:rsidR="00866432" w:rsidRPr="00866432">
        <w:t xml:space="preserve">fournira les informations sur les caractéristiques de son infrastructure réseau nécessaires à l’analyse des données OTM partagées </w:t>
      </w:r>
      <w:r w:rsidR="00866432">
        <w:t xml:space="preserve">dans le cadre </w:t>
      </w:r>
      <w:proofErr w:type="gramStart"/>
      <w:r w:rsidR="00866432">
        <w:t>d’un APD</w:t>
      </w:r>
      <w:proofErr w:type="gramEnd"/>
      <w:r w:rsidR="00866432">
        <w:t xml:space="preserve"> et selon les conditions établies dans le présent Accord</w:t>
      </w:r>
      <w:r w:rsidRPr="00866432">
        <w:t>.</w:t>
      </w:r>
    </w:p>
    <w:p w14:paraId="6AC95DC9" w14:textId="6ADDD30A" w:rsidR="00CB5DD2" w:rsidRPr="00866432" w:rsidRDefault="003E76C0" w:rsidP="00CB5DD2">
      <w:pPr>
        <w:pStyle w:val="Heading3"/>
      </w:pPr>
      <w:r w:rsidRPr="00866432">
        <w:rPr>
          <w:i/>
          <w:iCs/>
          <w:color w:val="BF4E14" w:themeColor="accent2" w:themeShade="BF"/>
        </w:rPr>
        <w:t>[</w:t>
      </w:r>
      <w:r w:rsidR="00866432" w:rsidRPr="00866432">
        <w:rPr>
          <w:i/>
          <w:iCs/>
          <w:color w:val="BF4E14" w:themeColor="accent2" w:themeShade="BF"/>
        </w:rPr>
        <w:t xml:space="preserve">OTM 1 ou </w:t>
      </w:r>
      <w:proofErr w:type="spellStart"/>
      <w:r w:rsidR="00866432" w:rsidRPr="00866432">
        <w:rPr>
          <w:i/>
          <w:iCs/>
          <w:color w:val="BF4E14" w:themeColor="accent2" w:themeShade="BF"/>
        </w:rPr>
        <w:t>OTMs</w:t>
      </w:r>
      <w:proofErr w:type="spellEnd"/>
      <w:r w:rsidRPr="00866432">
        <w:rPr>
          <w:i/>
          <w:iCs/>
          <w:color w:val="BF4E14" w:themeColor="accent2" w:themeShade="BF"/>
        </w:rPr>
        <w:t>]</w:t>
      </w:r>
      <w:r w:rsidR="00CB5DD2" w:rsidRPr="00866432">
        <w:t xml:space="preserve"> </w:t>
      </w:r>
      <w:r w:rsidR="00866432" w:rsidRPr="00866432">
        <w:t>devr</w:t>
      </w:r>
      <w:r w:rsidR="00866432">
        <w:t>a</w:t>
      </w:r>
      <w:r w:rsidR="00866432" w:rsidRPr="00866432">
        <w:t xml:space="preserve"> coopérer avec</w:t>
      </w:r>
      <w:r w:rsidR="00CB5DD2" w:rsidRPr="00866432">
        <w:t xml:space="preserve"> </w:t>
      </w:r>
      <w:r w:rsidRPr="00866432">
        <w:rPr>
          <w:color w:val="BF4E14" w:themeColor="accent2" w:themeShade="BF"/>
        </w:rPr>
        <w:t>[</w:t>
      </w:r>
      <w:r w:rsidR="00866432" w:rsidRPr="00866432">
        <w:rPr>
          <w:i/>
          <w:iCs/>
          <w:color w:val="BF4E14" w:themeColor="accent2" w:themeShade="BF"/>
        </w:rPr>
        <w:t>INS</w:t>
      </w:r>
      <w:r w:rsidRPr="00866432">
        <w:rPr>
          <w:color w:val="BF4E14" w:themeColor="accent2" w:themeShade="BF"/>
        </w:rPr>
        <w:t xml:space="preserve">] </w:t>
      </w:r>
      <w:r w:rsidR="00866432" w:rsidRPr="00866432">
        <w:t>et</w:t>
      </w:r>
      <w:r w:rsidR="00CB5DD2" w:rsidRPr="00866432">
        <w:t xml:space="preserve"> </w:t>
      </w:r>
      <w:r w:rsidRPr="00866432">
        <w:rPr>
          <w:color w:val="BF4E14" w:themeColor="accent2" w:themeShade="BF"/>
        </w:rPr>
        <w:t>[</w:t>
      </w:r>
      <w:r w:rsidR="00866432" w:rsidRPr="00866432">
        <w:rPr>
          <w:i/>
          <w:iCs/>
          <w:color w:val="BF4E14" w:themeColor="accent2" w:themeShade="BF"/>
        </w:rPr>
        <w:t>Régulateur</w:t>
      </w:r>
      <w:r w:rsidRPr="00866432">
        <w:rPr>
          <w:color w:val="BF4E14" w:themeColor="accent2" w:themeShade="BF"/>
        </w:rPr>
        <w:t xml:space="preserve">] </w:t>
      </w:r>
      <w:r w:rsidR="00866432" w:rsidRPr="00866432">
        <w:t xml:space="preserve">pour assurer l’exhaustivité et la qualité des données partagées, </w:t>
      </w:r>
      <w:r w:rsidR="00866432">
        <w:t xml:space="preserve">conformément aux spécifications établies dans les APD </w:t>
      </w:r>
      <w:r w:rsidR="00FB0AF5">
        <w:t>applicables</w:t>
      </w:r>
      <w:r w:rsidR="00CB5DD2" w:rsidRPr="00866432">
        <w:t>.</w:t>
      </w:r>
    </w:p>
    <w:p w14:paraId="3254F540" w14:textId="3CECDF81" w:rsidR="00430989" w:rsidRPr="00866432" w:rsidRDefault="00430989" w:rsidP="00430989">
      <w:pPr>
        <w:pStyle w:val="Heading3"/>
      </w:pPr>
      <w:r w:rsidRPr="00866432">
        <w:rPr>
          <w:color w:val="BF4E14" w:themeColor="accent2" w:themeShade="BF"/>
        </w:rPr>
        <w:t>[</w:t>
      </w:r>
      <w:r w:rsidR="00866432" w:rsidRPr="00866432">
        <w:rPr>
          <w:i/>
          <w:iCs/>
          <w:color w:val="BF4E14" w:themeColor="accent2" w:themeShade="BF"/>
        </w:rPr>
        <w:t xml:space="preserve">OTM 1 ou </w:t>
      </w:r>
      <w:proofErr w:type="spellStart"/>
      <w:r w:rsidR="00866432" w:rsidRPr="00866432">
        <w:rPr>
          <w:i/>
          <w:iCs/>
          <w:color w:val="BF4E14" w:themeColor="accent2" w:themeShade="BF"/>
        </w:rPr>
        <w:t>OTMs</w:t>
      </w:r>
      <w:proofErr w:type="spellEnd"/>
      <w:r w:rsidRPr="00866432">
        <w:rPr>
          <w:color w:val="BF4E14" w:themeColor="accent2" w:themeShade="BF"/>
        </w:rPr>
        <w:t>]</w:t>
      </w:r>
      <w:r w:rsidR="00866432" w:rsidRPr="00866432">
        <w:t xml:space="preserve"> veillera </w:t>
      </w:r>
      <w:r w:rsidR="00866432" w:rsidRPr="00866432">
        <w:t>à ce que l’infrastructure soit adaptée au stockage et au traitement des données de niveau I</w:t>
      </w:r>
      <w:r w:rsidR="00866432" w:rsidRPr="00866432">
        <w:t xml:space="preserve"> </w:t>
      </w:r>
      <w:r w:rsidR="00866432">
        <w:t>nano</w:t>
      </w:r>
      <w:r w:rsidRPr="00866432">
        <w:t>.</w:t>
      </w:r>
    </w:p>
    <w:p w14:paraId="2486035C" w14:textId="1193965D" w:rsidR="00CB211A" w:rsidRPr="00FB0AF5" w:rsidRDefault="00CB211A" w:rsidP="00CB211A">
      <w:pPr>
        <w:pStyle w:val="Heading3"/>
      </w:pPr>
      <w:r w:rsidRPr="00FB0AF5">
        <w:rPr>
          <w:color w:val="BF4E14" w:themeColor="accent2" w:themeShade="BF"/>
        </w:rPr>
        <w:t>[</w:t>
      </w:r>
      <w:r w:rsidR="00866432" w:rsidRPr="00FB0AF5">
        <w:rPr>
          <w:i/>
          <w:iCs/>
          <w:color w:val="BF4E14" w:themeColor="accent2" w:themeShade="BF"/>
        </w:rPr>
        <w:t xml:space="preserve">OTM 1 ou </w:t>
      </w:r>
      <w:proofErr w:type="spellStart"/>
      <w:r w:rsidR="00866432" w:rsidRPr="00FB0AF5">
        <w:rPr>
          <w:i/>
          <w:iCs/>
          <w:color w:val="BF4E14" w:themeColor="accent2" w:themeShade="BF"/>
        </w:rPr>
        <w:t>OTMs</w:t>
      </w:r>
      <w:proofErr w:type="spellEnd"/>
      <w:r w:rsidRPr="00FB0AF5">
        <w:rPr>
          <w:color w:val="BF4E14" w:themeColor="accent2" w:themeShade="BF"/>
        </w:rPr>
        <w:t>]</w:t>
      </w:r>
      <w:r w:rsidRPr="00FB0AF5">
        <w:t xml:space="preserve"> </w:t>
      </w:r>
      <w:r w:rsidR="00866432" w:rsidRPr="00FB0AF5">
        <w:t xml:space="preserve">mettra en place un protocole réseau sécurisé permettant de fournir un accès sécurisé aux données OTM aux entités autorisées conformément </w:t>
      </w:r>
      <w:r w:rsidR="00FB0AF5" w:rsidRPr="00FB0AF5">
        <w:t>aux co</w:t>
      </w:r>
      <w:r w:rsidR="00FB0AF5">
        <w:t>nditions établies dans les APD applicables.</w:t>
      </w:r>
    </w:p>
    <w:p w14:paraId="4A1FE141" w14:textId="177906D3" w:rsidR="00CB5DD2" w:rsidRPr="00C07753" w:rsidRDefault="00CB5DD2" w:rsidP="00CB5DD2">
      <w:pPr>
        <w:pStyle w:val="Heading1"/>
      </w:pPr>
      <w:r w:rsidRPr="00C07753">
        <w:t>Go</w:t>
      </w:r>
      <w:r w:rsidR="00866432">
        <w:t>u</w:t>
      </w:r>
      <w:r w:rsidRPr="00C07753">
        <w:t>vernance</w:t>
      </w:r>
    </w:p>
    <w:p w14:paraId="778432F9" w14:textId="16C3ADEE" w:rsidR="00F466E9" w:rsidRPr="00C07753" w:rsidRDefault="00FB0AF5" w:rsidP="00CB5DD2">
      <w:pPr>
        <w:pStyle w:val="Heading2"/>
      </w:pPr>
      <w:r w:rsidRPr="00FB0AF5">
        <w:t>Les Parties conviennent de créer un</w:t>
      </w:r>
      <w:r w:rsidR="00CB5DD2" w:rsidRPr="00FB0AF5">
        <w:t xml:space="preserve"> </w:t>
      </w:r>
      <w:r w:rsidR="003E76C0" w:rsidRPr="00FB0AF5">
        <w:rPr>
          <w:i/>
          <w:iCs/>
          <w:color w:val="BF4E14" w:themeColor="accent2" w:themeShade="BF"/>
        </w:rPr>
        <w:t>[</w:t>
      </w:r>
      <w:r w:rsidRPr="00FB0AF5">
        <w:rPr>
          <w:i/>
          <w:iCs/>
          <w:color w:val="BF4E14" w:themeColor="accent2" w:themeShade="BF"/>
        </w:rPr>
        <w:t>Nom du mécanisme de coordination</w:t>
      </w:r>
      <w:r w:rsidR="003E76C0" w:rsidRPr="00FB0AF5">
        <w:rPr>
          <w:i/>
          <w:iCs/>
          <w:color w:val="BF4E14" w:themeColor="accent2" w:themeShade="BF"/>
        </w:rPr>
        <w:t xml:space="preserve">, </w:t>
      </w:r>
      <w:r w:rsidRPr="00FB0AF5">
        <w:rPr>
          <w:i/>
          <w:iCs/>
          <w:color w:val="BF4E14" w:themeColor="accent2" w:themeShade="BF"/>
        </w:rPr>
        <w:t>ex</w:t>
      </w:r>
      <w:r w:rsidR="003E76C0" w:rsidRPr="00FB0AF5">
        <w:rPr>
          <w:i/>
          <w:iCs/>
          <w:color w:val="BF4E14" w:themeColor="accent2" w:themeShade="BF"/>
        </w:rPr>
        <w:t>.</w:t>
      </w:r>
      <w:r w:rsidRPr="00FB0AF5">
        <w:rPr>
          <w:i/>
          <w:iCs/>
          <w:color w:val="BF4E14" w:themeColor="accent2" w:themeShade="BF"/>
        </w:rPr>
        <w:t> :</w:t>
      </w:r>
      <w:r w:rsidR="003E76C0" w:rsidRPr="00FB0AF5">
        <w:rPr>
          <w:i/>
          <w:iCs/>
          <w:color w:val="BF4E14" w:themeColor="accent2" w:themeShade="BF"/>
        </w:rPr>
        <w:t xml:space="preserve"> </w:t>
      </w:r>
      <w:r w:rsidRPr="00FB0AF5">
        <w:rPr>
          <w:i/>
          <w:iCs/>
          <w:color w:val="BF4E14" w:themeColor="accent2" w:themeShade="BF"/>
        </w:rPr>
        <w:t>Co</w:t>
      </w:r>
      <w:r>
        <w:rPr>
          <w:i/>
          <w:iCs/>
          <w:color w:val="BF4E14" w:themeColor="accent2" w:themeShade="BF"/>
        </w:rPr>
        <w:t>mité de Pilotage ou Conseil de Coordination</w:t>
      </w:r>
      <w:r w:rsidR="003E76C0" w:rsidRPr="00FB0AF5">
        <w:rPr>
          <w:i/>
          <w:iCs/>
          <w:color w:val="BF4E14" w:themeColor="accent2" w:themeShade="BF"/>
        </w:rPr>
        <w:t>]</w:t>
      </w:r>
      <w:r w:rsidR="003E76C0" w:rsidRPr="00FB0AF5">
        <w:t xml:space="preserve"> </w:t>
      </w:r>
      <w:r>
        <w:t>pour la supervision stratégique</w:t>
      </w:r>
      <w:r w:rsidR="00CB5DD2" w:rsidRPr="00FB0AF5">
        <w:t xml:space="preserve"> (i) </w:t>
      </w:r>
      <w:r>
        <w:t>de la construction du pipeline de données</w:t>
      </w:r>
      <w:r w:rsidR="00CB5DD2" w:rsidRPr="00FB0AF5">
        <w:t xml:space="preserve">, (ii) </w:t>
      </w:r>
      <w:r>
        <w:t>de la pérennité de ce pipeline</w:t>
      </w:r>
      <w:r w:rsidR="00CB5DD2" w:rsidRPr="00FB0AF5">
        <w:t xml:space="preserve">. </w:t>
      </w:r>
      <w:r w:rsidRPr="00FB0AF5">
        <w:t>Ce mécanisme donnera une voix aux parties prenantes, facilitera la coordination décisionnelle et contribuera à résoudre les litiges liés au présent Accord.</w:t>
      </w:r>
    </w:p>
    <w:p w14:paraId="44115BF2" w14:textId="499F8D7A" w:rsidR="00CB5DD2" w:rsidRPr="00C07753" w:rsidRDefault="00FB0AF5" w:rsidP="00CB5DD2">
      <w:pPr>
        <w:pStyle w:val="Heading2"/>
      </w:pPr>
      <w:r>
        <w:t>Le</w:t>
      </w:r>
      <w:r w:rsidR="00CB5DD2" w:rsidRPr="00C07753">
        <w:t xml:space="preserve"> </w:t>
      </w:r>
      <w:r w:rsidR="00F466E9" w:rsidRPr="00C07753">
        <w:rPr>
          <w:i/>
          <w:iCs/>
          <w:color w:val="BF4E14" w:themeColor="accent2" w:themeShade="BF"/>
        </w:rPr>
        <w:t>[</w:t>
      </w:r>
      <w:r w:rsidRPr="00FB0AF5">
        <w:rPr>
          <w:i/>
          <w:iCs/>
          <w:color w:val="BF4E14" w:themeColor="accent2" w:themeShade="BF"/>
        </w:rPr>
        <w:t>Nom du mécanisme de coordination</w:t>
      </w:r>
      <w:r w:rsidR="00F466E9" w:rsidRPr="00C07753">
        <w:rPr>
          <w:i/>
          <w:iCs/>
          <w:color w:val="BF4E14" w:themeColor="accent2" w:themeShade="BF"/>
        </w:rPr>
        <w:t>]</w:t>
      </w:r>
      <w:r w:rsidR="00CB5DD2" w:rsidRPr="00C07753">
        <w:t xml:space="preserve"> </w:t>
      </w:r>
      <w:r>
        <w:t>se réunira</w:t>
      </w:r>
      <w:r w:rsidR="00F466E9" w:rsidRPr="00C07753">
        <w:t xml:space="preserve"> </w:t>
      </w:r>
      <w:r w:rsidR="00F466E9" w:rsidRPr="00C07753">
        <w:rPr>
          <w:i/>
          <w:iCs/>
          <w:color w:val="BF4E14" w:themeColor="accent2" w:themeShade="BF"/>
        </w:rPr>
        <w:t>[</w:t>
      </w:r>
      <w:r w:rsidRPr="00FB0AF5">
        <w:rPr>
          <w:i/>
          <w:iCs/>
          <w:color w:val="BF4E14" w:themeColor="accent2" w:themeShade="BF"/>
        </w:rPr>
        <w:t>fréquence des réunions, ex.</w:t>
      </w:r>
      <w:r>
        <w:rPr>
          <w:i/>
          <w:iCs/>
          <w:color w:val="BF4E14" w:themeColor="accent2" w:themeShade="BF"/>
        </w:rPr>
        <w:t> :</w:t>
      </w:r>
      <w:r w:rsidRPr="00FB0AF5">
        <w:rPr>
          <w:i/>
          <w:iCs/>
          <w:color w:val="BF4E14" w:themeColor="accent2" w:themeShade="BF"/>
        </w:rPr>
        <w:t xml:space="preserve"> trimestriellement</w:t>
      </w:r>
      <w:r w:rsidR="00F466E9" w:rsidRPr="00C07753">
        <w:rPr>
          <w:i/>
          <w:iCs/>
          <w:color w:val="BF4E14" w:themeColor="accent2" w:themeShade="BF"/>
        </w:rPr>
        <w:t>]</w:t>
      </w:r>
      <w:r w:rsidR="00CB5DD2" w:rsidRPr="00C07753">
        <w:t xml:space="preserve"> </w:t>
      </w:r>
      <w:r w:rsidRPr="00FB0AF5">
        <w:t>pour évaluer les progrès, identifier les obstacles et adopter des recommandations ou décisions</w:t>
      </w:r>
      <w:r>
        <w:t xml:space="preserve"> requises</w:t>
      </w:r>
      <w:r w:rsidR="00CB5DD2" w:rsidRPr="00C07753">
        <w:t>.</w:t>
      </w:r>
    </w:p>
    <w:p w14:paraId="69012AE1" w14:textId="7512B1E1" w:rsidR="00CB5DD2" w:rsidRPr="00FB0AF5" w:rsidRDefault="00FB0AF5" w:rsidP="00C50CFC">
      <w:pPr>
        <w:pStyle w:val="Heading2"/>
      </w:pPr>
      <w:r w:rsidRPr="00FB0AF5">
        <w:t xml:space="preserve">Le quorum minimum requis pour chaque </w:t>
      </w:r>
      <w:proofErr w:type="gramStart"/>
      <w:r w:rsidRPr="00FB0AF5">
        <w:t xml:space="preserve">réunion </w:t>
      </w:r>
      <w:r w:rsidRPr="00FB0AF5">
        <w:t xml:space="preserve"> du</w:t>
      </w:r>
      <w:proofErr w:type="gramEnd"/>
      <w:r w:rsidRPr="00FB0AF5">
        <w:t xml:space="preserve"> </w:t>
      </w:r>
      <w:r w:rsidR="00C50CFC" w:rsidRPr="00FB0AF5">
        <w:rPr>
          <w:i/>
          <w:iCs/>
          <w:color w:val="BF4E14" w:themeColor="accent2" w:themeShade="BF"/>
        </w:rPr>
        <w:t>[</w:t>
      </w:r>
      <w:r w:rsidRPr="00FB0AF5">
        <w:rPr>
          <w:i/>
          <w:iCs/>
          <w:color w:val="BF4E14" w:themeColor="accent2" w:themeShade="BF"/>
        </w:rPr>
        <w:t>Nom du mécanisme de coordination</w:t>
      </w:r>
      <w:r w:rsidR="00C50CFC" w:rsidRPr="00FB0AF5">
        <w:rPr>
          <w:i/>
          <w:iCs/>
          <w:color w:val="BF4E14" w:themeColor="accent2" w:themeShade="BF"/>
        </w:rPr>
        <w:t>]</w:t>
      </w:r>
      <w:r w:rsidR="00C50CFC" w:rsidRPr="00FB0AF5">
        <w:t xml:space="preserve"> </w:t>
      </w:r>
      <w:r>
        <w:t>sera de :</w:t>
      </w:r>
      <w:r w:rsidR="00C50CFC" w:rsidRPr="00FB0AF5">
        <w:t xml:space="preserve"> (i) </w:t>
      </w:r>
      <w:r w:rsidR="00C50CFC" w:rsidRPr="00FB0AF5">
        <w:rPr>
          <w:i/>
          <w:iCs/>
          <w:color w:val="BF4E14" w:themeColor="accent2" w:themeShade="BF"/>
        </w:rPr>
        <w:t>[X]</w:t>
      </w:r>
      <w:r w:rsidR="00C50CFC" w:rsidRPr="00FB0AF5">
        <w:t xml:space="preserve"> </w:t>
      </w:r>
      <w:r>
        <w:t>représentants de</w:t>
      </w:r>
      <w:r w:rsidR="00C50CFC" w:rsidRPr="00FB0AF5">
        <w:t xml:space="preserve"> </w:t>
      </w:r>
      <w:r w:rsidR="00C50CFC" w:rsidRPr="00FB0AF5">
        <w:rPr>
          <w:i/>
          <w:iCs/>
          <w:color w:val="BF4E14" w:themeColor="accent2" w:themeShade="BF"/>
        </w:rPr>
        <w:t>[</w:t>
      </w:r>
      <w:r>
        <w:rPr>
          <w:i/>
          <w:iCs/>
          <w:color w:val="BF4E14" w:themeColor="accent2" w:themeShade="BF"/>
        </w:rPr>
        <w:t>INS</w:t>
      </w:r>
      <w:r w:rsidR="00C50CFC" w:rsidRPr="00FB0AF5">
        <w:rPr>
          <w:i/>
          <w:iCs/>
          <w:color w:val="BF4E14" w:themeColor="accent2" w:themeShade="BF"/>
        </w:rPr>
        <w:t>]</w:t>
      </w:r>
      <w:r w:rsidR="00C50CFC" w:rsidRPr="00FB0AF5">
        <w:t xml:space="preserve">, (ii) </w:t>
      </w:r>
      <w:r w:rsidR="00C50CFC" w:rsidRPr="00FB0AF5">
        <w:rPr>
          <w:i/>
          <w:iCs/>
          <w:color w:val="BF4E14" w:themeColor="accent2" w:themeShade="BF"/>
        </w:rPr>
        <w:t>[X]</w:t>
      </w:r>
      <w:r w:rsidR="00C50CFC" w:rsidRPr="00FB0AF5">
        <w:t xml:space="preserve"> </w:t>
      </w:r>
      <w:r>
        <w:t xml:space="preserve">représentants de </w:t>
      </w:r>
      <w:r w:rsidR="00C50CFC" w:rsidRPr="00FB0AF5">
        <w:rPr>
          <w:i/>
          <w:iCs/>
          <w:color w:val="BF4E14" w:themeColor="accent2" w:themeShade="BF"/>
        </w:rPr>
        <w:t>[R</w:t>
      </w:r>
      <w:r>
        <w:rPr>
          <w:i/>
          <w:iCs/>
          <w:color w:val="BF4E14" w:themeColor="accent2" w:themeShade="BF"/>
        </w:rPr>
        <w:t>é</w:t>
      </w:r>
      <w:r w:rsidR="00C50CFC" w:rsidRPr="00FB0AF5">
        <w:rPr>
          <w:i/>
          <w:iCs/>
          <w:color w:val="BF4E14" w:themeColor="accent2" w:themeShade="BF"/>
        </w:rPr>
        <w:t>gulat</w:t>
      </w:r>
      <w:r>
        <w:rPr>
          <w:i/>
          <w:iCs/>
          <w:color w:val="BF4E14" w:themeColor="accent2" w:themeShade="BF"/>
        </w:rPr>
        <w:t>eu</w:t>
      </w:r>
      <w:r w:rsidR="00C50CFC" w:rsidRPr="00FB0AF5">
        <w:rPr>
          <w:i/>
          <w:iCs/>
          <w:color w:val="BF4E14" w:themeColor="accent2" w:themeShade="BF"/>
        </w:rPr>
        <w:t>r]</w:t>
      </w:r>
      <w:r w:rsidR="00C50CFC" w:rsidRPr="00FB0AF5">
        <w:t xml:space="preserve">, (iii) </w:t>
      </w:r>
      <w:r w:rsidR="00C50CFC" w:rsidRPr="00FB0AF5">
        <w:rPr>
          <w:i/>
          <w:iCs/>
          <w:color w:val="BF4E14" w:themeColor="accent2" w:themeShade="BF"/>
        </w:rPr>
        <w:t>[X]</w:t>
      </w:r>
      <w:r w:rsidR="00C50CFC" w:rsidRPr="00FB0AF5">
        <w:rPr>
          <w:color w:val="BF4E14" w:themeColor="accent2" w:themeShade="BF"/>
        </w:rPr>
        <w:t xml:space="preserve"> </w:t>
      </w:r>
      <w:r>
        <w:t xml:space="preserve">représentants de </w:t>
      </w:r>
      <w:r w:rsidRPr="00FB0AF5">
        <w:rPr>
          <w:color w:val="BF4E14" w:themeColor="accent2" w:themeShade="BF"/>
        </w:rPr>
        <w:t>[</w:t>
      </w:r>
      <w:r w:rsidRPr="00FB0AF5">
        <w:rPr>
          <w:i/>
          <w:iCs/>
          <w:color w:val="BF4E14" w:themeColor="accent2" w:themeShade="BF"/>
        </w:rPr>
        <w:t xml:space="preserve">OTM 1 ou </w:t>
      </w:r>
      <w:proofErr w:type="spellStart"/>
      <w:r w:rsidRPr="00FB0AF5">
        <w:rPr>
          <w:i/>
          <w:iCs/>
          <w:color w:val="BF4E14" w:themeColor="accent2" w:themeShade="BF"/>
        </w:rPr>
        <w:t>OTMs</w:t>
      </w:r>
      <w:proofErr w:type="spellEnd"/>
      <w:r w:rsidRPr="00FB0AF5">
        <w:rPr>
          <w:color w:val="BF4E14" w:themeColor="accent2" w:themeShade="BF"/>
        </w:rPr>
        <w:t>]</w:t>
      </w:r>
      <w:r w:rsidR="00C50CFC" w:rsidRPr="00FB0AF5">
        <w:t xml:space="preserve">. </w:t>
      </w:r>
      <w:r w:rsidRPr="00FB0AF5">
        <w:t xml:space="preserve">Si le quorum n’est pas </w:t>
      </w:r>
      <w:proofErr w:type="spellStart"/>
      <w:r w:rsidRPr="00FB0AF5">
        <w:t>attaint</w:t>
      </w:r>
      <w:proofErr w:type="spellEnd"/>
      <w:r w:rsidRPr="00FB0AF5">
        <w:t xml:space="preserve">, la </w:t>
      </w:r>
      <w:proofErr w:type="spellStart"/>
      <w:r w:rsidRPr="00FB0AF5">
        <w:t>reunion</w:t>
      </w:r>
      <w:proofErr w:type="spellEnd"/>
      <w:r w:rsidRPr="00FB0AF5">
        <w:t xml:space="preserve"> pourra avoir lieu à titre consultative ma</w:t>
      </w:r>
      <w:r>
        <w:t>is aucune décision formelle ne pourra être prise</w:t>
      </w:r>
      <w:r w:rsidR="00C50CFC" w:rsidRPr="00FB0AF5">
        <w:t>.</w:t>
      </w:r>
    </w:p>
    <w:p w14:paraId="03CE8D0B" w14:textId="49F43B15" w:rsidR="00C50CFC" w:rsidRPr="00C07753" w:rsidRDefault="00FB0AF5" w:rsidP="00C50CFC">
      <w:pPr>
        <w:pStyle w:val="Heading2"/>
      </w:pPr>
      <w:r w:rsidRPr="00FB0AF5">
        <w:t>En cas d’urgence nécessitant des décisions rapides, la participation virtuelle et la prise de décision à distance pourront être autorisées avec l’accord préalable de toutes les Parties</w:t>
      </w:r>
      <w:r w:rsidR="00C50CFC" w:rsidRPr="00C07753">
        <w:t>.</w:t>
      </w:r>
    </w:p>
    <w:p w14:paraId="6499649B" w14:textId="1ED1345E" w:rsidR="00C50CFC" w:rsidRPr="00C07753" w:rsidRDefault="00C50CFC" w:rsidP="00C50CFC">
      <w:pPr>
        <w:pStyle w:val="Heading2"/>
      </w:pPr>
      <w:r w:rsidRPr="00C07753">
        <w:rPr>
          <w:color w:val="BF4E14" w:themeColor="accent2" w:themeShade="BF"/>
        </w:rPr>
        <w:t>[</w:t>
      </w:r>
      <w:r w:rsidR="00C609CE" w:rsidRPr="00C609CE">
        <w:rPr>
          <w:i/>
          <w:iCs/>
          <w:color w:val="BF4E14" w:themeColor="accent2" w:themeShade="BF"/>
        </w:rPr>
        <w:t>Autres clauses de gouvernance selon les besoins</w:t>
      </w:r>
      <w:r w:rsidRPr="00C07753">
        <w:rPr>
          <w:color w:val="BF4E14" w:themeColor="accent2" w:themeShade="BF"/>
        </w:rPr>
        <w:t>]</w:t>
      </w:r>
    </w:p>
    <w:p w14:paraId="6CFDAA76" w14:textId="0A2D6BF0" w:rsidR="00320126" w:rsidRPr="00C07753" w:rsidRDefault="00C609CE" w:rsidP="00320126">
      <w:pPr>
        <w:pStyle w:val="Heading1"/>
      </w:pPr>
      <w:bookmarkStart w:id="6" w:name="_Ref197099754"/>
      <w:r>
        <w:t>Accès aux données de niveau 1 nano sur le serveur de l’OTM</w:t>
      </w:r>
    </w:p>
    <w:p w14:paraId="5A815160" w14:textId="760A55C7" w:rsidR="00320126" w:rsidRPr="00C609CE" w:rsidRDefault="00320126" w:rsidP="00320126">
      <w:pPr>
        <w:pStyle w:val="Heading2"/>
        <w:numPr>
          <w:ilvl w:val="0"/>
          <w:numId w:val="0"/>
        </w:numPr>
        <w:ind w:left="576"/>
      </w:pPr>
      <w:r w:rsidRPr="00C609CE">
        <w:rPr>
          <w:i/>
          <w:iCs/>
          <w:color w:val="0070C0"/>
        </w:rPr>
        <w:t>[</w:t>
      </w:r>
      <w:r w:rsidR="00C609CE" w:rsidRPr="00C609CE">
        <w:rPr>
          <w:i/>
          <w:iCs/>
          <w:color w:val="0070C0"/>
        </w:rPr>
        <w:t>Cette clause fixe le protocole d’accès aux données de niveau I nano sur le</w:t>
      </w:r>
      <w:r w:rsidR="00C609CE">
        <w:rPr>
          <w:i/>
          <w:iCs/>
          <w:color w:val="0070C0"/>
        </w:rPr>
        <w:t xml:space="preserve"> serveur de l’opérateur pour le traitement des données, pour des entités gouvernementales et de potentiels partenaires techniques externes</w:t>
      </w:r>
      <w:r w:rsidRPr="00C609CE">
        <w:rPr>
          <w:i/>
          <w:iCs/>
          <w:color w:val="0070C0"/>
        </w:rPr>
        <w:t>.]</w:t>
      </w:r>
    </w:p>
    <w:p w14:paraId="7605A641" w14:textId="0AA3B9E2" w:rsidR="00320126" w:rsidRPr="00C07753" w:rsidRDefault="00320126" w:rsidP="00320126">
      <w:pPr>
        <w:pStyle w:val="Heading2"/>
        <w:rPr>
          <w:i/>
          <w:iCs/>
        </w:rPr>
      </w:pPr>
      <w:r w:rsidRPr="00C609CE">
        <w:rPr>
          <w:i/>
          <w:iCs/>
          <w:color w:val="0070C0"/>
        </w:rPr>
        <w:lastRenderedPageBreak/>
        <w:t>[</w:t>
      </w:r>
      <w:r w:rsidR="00C609CE" w:rsidRPr="00C609CE">
        <w:rPr>
          <w:i/>
          <w:iCs/>
          <w:color w:val="0070C0"/>
        </w:rPr>
        <w:t xml:space="preserve">Cette </w:t>
      </w:r>
      <w:proofErr w:type="spellStart"/>
      <w:r w:rsidR="00C609CE" w:rsidRPr="00C609CE">
        <w:rPr>
          <w:i/>
          <w:iCs/>
          <w:color w:val="0070C0"/>
        </w:rPr>
        <w:t>sous-clause</w:t>
      </w:r>
      <w:proofErr w:type="spellEnd"/>
      <w:r w:rsidR="00C609CE" w:rsidRPr="00C609CE">
        <w:rPr>
          <w:i/>
          <w:iCs/>
          <w:color w:val="0070C0"/>
        </w:rPr>
        <w:t xml:space="preserve"> gouverne l’accès aux données de</w:t>
      </w:r>
      <w:r w:rsidR="00C609CE">
        <w:rPr>
          <w:i/>
          <w:iCs/>
          <w:color w:val="0070C0"/>
        </w:rPr>
        <w:t xml:space="preserve"> niveau I nano pour leur traitement par des </w:t>
      </w:r>
      <w:r w:rsidR="00C609CE" w:rsidRPr="00C609CE">
        <w:rPr>
          <w:i/>
          <w:iCs/>
          <w:color w:val="0070C0"/>
          <w:u w:val="single"/>
        </w:rPr>
        <w:t>entités gouvernementales</w:t>
      </w:r>
      <w:r w:rsidR="00C609CE">
        <w:rPr>
          <w:i/>
          <w:iCs/>
          <w:color w:val="0070C0"/>
        </w:rPr>
        <w:t xml:space="preserve">. </w:t>
      </w:r>
      <w:r w:rsidR="00C609CE" w:rsidRPr="00C609CE">
        <w:rPr>
          <w:i/>
          <w:iCs/>
          <w:color w:val="0070C0"/>
          <w:lang w:val="en-IE"/>
        </w:rPr>
        <w:t xml:space="preserve">Le </w:t>
      </w:r>
      <w:proofErr w:type="spellStart"/>
      <w:r w:rsidR="00C609CE">
        <w:rPr>
          <w:i/>
          <w:iCs/>
          <w:color w:val="0070C0"/>
          <w:lang w:val="en-IE"/>
        </w:rPr>
        <w:t>modèle</w:t>
      </w:r>
      <w:proofErr w:type="spellEnd"/>
      <w:r w:rsidR="00C609CE">
        <w:rPr>
          <w:i/>
          <w:iCs/>
          <w:color w:val="0070C0"/>
          <w:lang w:val="en-IE"/>
        </w:rPr>
        <w:t xml:space="preserve"> </w:t>
      </w:r>
      <w:proofErr w:type="spellStart"/>
      <w:r w:rsidR="00C609CE">
        <w:rPr>
          <w:i/>
          <w:iCs/>
          <w:color w:val="0070C0"/>
          <w:lang w:val="en-IE"/>
        </w:rPr>
        <w:t>fournit</w:t>
      </w:r>
      <w:proofErr w:type="spellEnd"/>
      <w:r w:rsidR="00C609CE">
        <w:rPr>
          <w:i/>
          <w:iCs/>
          <w:color w:val="0070C0"/>
          <w:lang w:val="en-IE"/>
        </w:rPr>
        <w:t xml:space="preserve"> deux options </w:t>
      </w:r>
      <w:proofErr w:type="spellStart"/>
      <w:r w:rsidR="00C609CE">
        <w:rPr>
          <w:i/>
          <w:iCs/>
          <w:color w:val="0070C0"/>
          <w:lang w:val="en-IE"/>
        </w:rPr>
        <w:t>d’implémentation</w:t>
      </w:r>
      <w:proofErr w:type="spellEnd"/>
      <w:r w:rsidR="00C609CE">
        <w:rPr>
          <w:i/>
          <w:iCs/>
          <w:color w:val="0070C0"/>
          <w:lang w:val="en-IE"/>
        </w:rPr>
        <w:t xml:space="preserve"> possibles. </w:t>
      </w:r>
      <w:r w:rsidR="00C609CE" w:rsidRPr="00C609CE">
        <w:rPr>
          <w:i/>
          <w:iCs/>
          <w:color w:val="0070C0"/>
        </w:rPr>
        <w:t xml:space="preserve">Les deux alternatives peuvent être incluses dans le PA afin de fournir un niveau de flexibilité </w:t>
      </w:r>
      <w:r w:rsidR="00C609CE">
        <w:rPr>
          <w:i/>
          <w:iCs/>
          <w:color w:val="0070C0"/>
        </w:rPr>
        <w:t xml:space="preserve">pouvant s’avérer utile, en particulier pour </w:t>
      </w:r>
      <w:proofErr w:type="gramStart"/>
      <w:r w:rsidR="00C609CE">
        <w:rPr>
          <w:i/>
          <w:iCs/>
          <w:color w:val="0070C0"/>
        </w:rPr>
        <w:t>une pipeline</w:t>
      </w:r>
      <w:proofErr w:type="gramEnd"/>
      <w:r w:rsidR="00C609CE">
        <w:rPr>
          <w:i/>
          <w:iCs/>
          <w:color w:val="0070C0"/>
        </w:rPr>
        <w:t xml:space="preserve"> intégrant les données de plusieurs OTM pouvant avoir des préférences distinctes</w:t>
      </w:r>
      <w:r w:rsidRPr="00C07753">
        <w:rPr>
          <w:i/>
          <w:iCs/>
          <w:color w:val="0070C0"/>
        </w:rPr>
        <w:t>.]</w:t>
      </w:r>
    </w:p>
    <w:p w14:paraId="3C0227C0" w14:textId="11695DB5" w:rsidR="00DC7B52" w:rsidRPr="00C07753" w:rsidRDefault="00320126" w:rsidP="00320126">
      <w:pPr>
        <w:pStyle w:val="Heading2"/>
        <w:numPr>
          <w:ilvl w:val="0"/>
          <w:numId w:val="0"/>
        </w:numPr>
        <w:ind w:left="576"/>
      </w:pPr>
      <w:r w:rsidRPr="00C609CE">
        <w:rPr>
          <w:i/>
          <w:iCs/>
          <w:color w:val="0070C0"/>
        </w:rPr>
        <w:t>[Option 1</w:t>
      </w:r>
      <w:r w:rsidR="00C609CE" w:rsidRPr="00C609CE">
        <w:rPr>
          <w:i/>
          <w:iCs/>
          <w:color w:val="0070C0"/>
        </w:rPr>
        <w:t> : un accès à un flux continu de données est régulé directement par le PA et</w:t>
      </w:r>
      <w:r w:rsidR="00C609CE">
        <w:rPr>
          <w:i/>
          <w:iCs/>
          <w:color w:val="0070C0"/>
        </w:rPr>
        <w:t xml:space="preserve"> les spécifications des données et une liste d’individus pré-</w:t>
      </w:r>
      <w:proofErr w:type="spellStart"/>
      <w:r w:rsidR="00C609CE">
        <w:rPr>
          <w:i/>
          <w:iCs/>
          <w:color w:val="0070C0"/>
        </w:rPr>
        <w:t>aprouvés</w:t>
      </w:r>
      <w:proofErr w:type="spellEnd"/>
      <w:r w:rsidR="00C609CE">
        <w:rPr>
          <w:i/>
          <w:iCs/>
          <w:color w:val="0070C0"/>
        </w:rPr>
        <w:t xml:space="preserve"> pour l’accès au serveur de l’OTM sont fournis en annexe. </w:t>
      </w:r>
      <w:r w:rsidR="00C609CE" w:rsidRPr="00C609CE">
        <w:rPr>
          <w:i/>
          <w:iCs/>
          <w:color w:val="0070C0"/>
        </w:rPr>
        <w:t xml:space="preserve">Cette option peut être </w:t>
      </w:r>
      <w:proofErr w:type="spellStart"/>
      <w:r w:rsidR="00C609CE" w:rsidRPr="00C609CE">
        <w:rPr>
          <w:i/>
          <w:iCs/>
          <w:color w:val="0070C0"/>
        </w:rPr>
        <w:t>adequate</w:t>
      </w:r>
      <w:proofErr w:type="spellEnd"/>
      <w:r w:rsidR="00C609CE" w:rsidRPr="00C609CE">
        <w:rPr>
          <w:i/>
          <w:iCs/>
          <w:color w:val="0070C0"/>
        </w:rPr>
        <w:t xml:space="preserve"> si l’accord ne prévoit pas de possibilité de compensation de l’OTM pour l’accès aux données.</w:t>
      </w:r>
      <w:r w:rsidR="00C609CE">
        <w:rPr>
          <w:i/>
          <w:iCs/>
          <w:color w:val="0070C0"/>
        </w:rPr>
        <w:t xml:space="preserve"> </w:t>
      </w:r>
      <w:r w:rsidR="00C609CE" w:rsidRPr="000B01B1">
        <w:rPr>
          <w:i/>
          <w:iCs/>
          <w:color w:val="0070C0"/>
        </w:rPr>
        <w:t xml:space="preserve">Si l’accord implique une compensation, un instrument légal contraignant, tel qu’un </w:t>
      </w:r>
      <w:r w:rsidR="000B01B1" w:rsidRPr="000B01B1">
        <w:rPr>
          <w:i/>
          <w:iCs/>
          <w:color w:val="0070C0"/>
        </w:rPr>
        <w:t>contrat d’</w:t>
      </w:r>
      <w:r w:rsidR="00C609CE" w:rsidRPr="000B01B1">
        <w:rPr>
          <w:i/>
          <w:iCs/>
          <w:color w:val="0070C0"/>
        </w:rPr>
        <w:t>Accord de Partage de Données (</w:t>
      </w:r>
      <w:r w:rsidR="000B01B1" w:rsidRPr="000B01B1">
        <w:rPr>
          <w:i/>
          <w:iCs/>
          <w:color w:val="0070C0"/>
        </w:rPr>
        <w:t>APD), sera pr</w:t>
      </w:r>
      <w:r w:rsidR="000B01B1">
        <w:rPr>
          <w:i/>
          <w:iCs/>
          <w:color w:val="0070C0"/>
        </w:rPr>
        <w:t>éféré (voir option 2)</w:t>
      </w:r>
      <w:r w:rsidR="00AC2489" w:rsidRPr="00C07753">
        <w:rPr>
          <w:i/>
          <w:iCs/>
          <w:color w:val="0070C0"/>
        </w:rPr>
        <w:t>.</w:t>
      </w:r>
      <w:r w:rsidRPr="00C07753">
        <w:rPr>
          <w:i/>
          <w:iCs/>
          <w:color w:val="0070C0"/>
        </w:rPr>
        <w:t>]</w:t>
      </w:r>
      <w:r w:rsidRPr="00C07753">
        <w:t xml:space="preserve"> </w:t>
      </w:r>
      <w:r w:rsidR="000B01B1" w:rsidRPr="000B01B1">
        <w:t>Dans le cadre du présent Accord</w:t>
      </w:r>
      <w:r w:rsidR="00DC7B52" w:rsidRPr="000B01B1">
        <w:t xml:space="preserve">, </w:t>
      </w:r>
      <w:r w:rsidR="00DC7B52" w:rsidRPr="000B01B1">
        <w:rPr>
          <w:color w:val="BF4E14" w:themeColor="accent2" w:themeShade="BF"/>
        </w:rPr>
        <w:t>[</w:t>
      </w:r>
      <w:r w:rsidR="000B01B1" w:rsidRPr="000B01B1">
        <w:rPr>
          <w:i/>
          <w:iCs/>
          <w:color w:val="BF4E14" w:themeColor="accent2" w:themeShade="BF"/>
        </w:rPr>
        <w:t>OTM 1 ou OTM</w:t>
      </w:r>
      <w:r w:rsidR="00DC7B52" w:rsidRPr="000B01B1">
        <w:rPr>
          <w:color w:val="BF4E14" w:themeColor="accent2" w:themeShade="BF"/>
        </w:rPr>
        <w:t>]</w:t>
      </w:r>
      <w:r w:rsidR="00DC7B52" w:rsidRPr="000B01B1">
        <w:t xml:space="preserve"> </w:t>
      </w:r>
      <w:r w:rsidR="000B01B1" w:rsidRPr="000B01B1">
        <w:t>hébergera les données de niveau I nano sur un serveur dédié</w:t>
      </w:r>
      <w:r w:rsidR="000B01B1">
        <w:t xml:space="preserve">, conformément à la Fiche de Spécifications de Données fournie en Annexe </w:t>
      </w:r>
      <w:r w:rsidR="00DC7B52" w:rsidRPr="000B01B1">
        <w:t xml:space="preserve">1. </w:t>
      </w:r>
      <w:r w:rsidR="000B01B1" w:rsidRPr="000B01B1">
        <w:t xml:space="preserve">Les données seront mises à jour </w:t>
      </w:r>
      <w:r w:rsidR="00DC7B52" w:rsidRPr="000B01B1">
        <w:rPr>
          <w:i/>
          <w:iCs/>
          <w:color w:val="BF4E14" w:themeColor="accent2" w:themeShade="BF"/>
        </w:rPr>
        <w:t>[</w:t>
      </w:r>
      <w:r w:rsidR="000B01B1" w:rsidRPr="000B01B1">
        <w:rPr>
          <w:i/>
          <w:iCs/>
          <w:color w:val="BF4E14" w:themeColor="accent2" w:themeShade="BF"/>
        </w:rPr>
        <w:t>fréquence de mise à jour des données</w:t>
      </w:r>
      <w:r w:rsidR="00DC7B52" w:rsidRPr="000B01B1">
        <w:rPr>
          <w:i/>
          <w:iCs/>
          <w:color w:val="BF4E14" w:themeColor="accent2" w:themeShade="BF"/>
        </w:rPr>
        <w:t xml:space="preserve">, </w:t>
      </w:r>
      <w:r w:rsidR="000B01B1" w:rsidRPr="000B01B1">
        <w:rPr>
          <w:i/>
          <w:iCs/>
          <w:color w:val="BF4E14" w:themeColor="accent2" w:themeShade="BF"/>
        </w:rPr>
        <w:t>ex.</w:t>
      </w:r>
      <w:r w:rsidR="000B01B1">
        <w:rPr>
          <w:i/>
          <w:iCs/>
          <w:color w:val="BF4E14" w:themeColor="accent2" w:themeShade="BF"/>
        </w:rPr>
        <w:t> :</w:t>
      </w:r>
      <w:r w:rsidR="000B01B1" w:rsidRPr="000B01B1">
        <w:rPr>
          <w:i/>
          <w:iCs/>
          <w:color w:val="BF4E14" w:themeColor="accent2" w:themeShade="BF"/>
        </w:rPr>
        <w:t xml:space="preserve"> trimestriellement</w:t>
      </w:r>
      <w:r w:rsidR="00DC7B52" w:rsidRPr="000B01B1">
        <w:rPr>
          <w:i/>
          <w:iCs/>
          <w:color w:val="BF4E14" w:themeColor="accent2" w:themeShade="BF"/>
        </w:rPr>
        <w:t>]</w:t>
      </w:r>
      <w:r w:rsidR="00DC7B52" w:rsidRPr="000B01B1">
        <w:t xml:space="preserve">, </w:t>
      </w:r>
      <w:r w:rsidR="000B01B1">
        <w:t>c’est-à-dire</w:t>
      </w:r>
      <w:r w:rsidR="00DC7B52" w:rsidRPr="000B01B1">
        <w:t xml:space="preserve"> </w:t>
      </w:r>
      <w:r w:rsidR="00DC7B52" w:rsidRPr="000B01B1">
        <w:rPr>
          <w:i/>
          <w:iCs/>
          <w:color w:val="BF4E14" w:themeColor="accent2" w:themeShade="BF"/>
        </w:rPr>
        <w:t>[</w:t>
      </w:r>
      <w:r w:rsidR="000B01B1" w:rsidRPr="00B1633C">
        <w:rPr>
          <w:i/>
          <w:iCs/>
          <w:color w:val="BF4E14" w:themeColor="accent2" w:themeShade="BF"/>
        </w:rPr>
        <w:t xml:space="preserve">spécifier les dates systématiques de </w:t>
      </w:r>
      <w:r w:rsidR="000B01B1">
        <w:rPr>
          <w:i/>
          <w:iCs/>
          <w:color w:val="BF4E14" w:themeColor="accent2" w:themeShade="BF"/>
        </w:rPr>
        <w:t>mise à jour</w:t>
      </w:r>
      <w:r w:rsidR="000B01B1" w:rsidRPr="00B1633C">
        <w:rPr>
          <w:i/>
          <w:iCs/>
          <w:color w:val="BF4E14" w:themeColor="accent2" w:themeShade="BF"/>
        </w:rPr>
        <w:t xml:space="preserve"> ; par exemple, pour un transfert trimestriel</w:t>
      </w:r>
      <w:r w:rsidR="000B01B1">
        <w:rPr>
          <w:i/>
          <w:iCs/>
          <w:color w:val="BF4E14" w:themeColor="accent2" w:themeShade="BF"/>
        </w:rPr>
        <w:t> :</w:t>
      </w:r>
      <w:r w:rsidR="000B01B1" w:rsidRPr="00B1633C">
        <w:rPr>
          <w:i/>
          <w:iCs/>
          <w:color w:val="BF4E14" w:themeColor="accent2" w:themeShade="BF"/>
        </w:rPr>
        <w:t xml:space="preserve"> </w:t>
      </w:r>
      <w:r w:rsidR="000B01B1">
        <w:rPr>
          <w:i/>
          <w:iCs/>
          <w:color w:val="BF4E14" w:themeColor="accent2" w:themeShade="BF"/>
        </w:rPr>
        <w:t>« </w:t>
      </w:r>
      <w:r w:rsidR="000B01B1" w:rsidRPr="00B1633C">
        <w:rPr>
          <w:i/>
          <w:iCs/>
          <w:color w:val="BF4E14" w:themeColor="accent2" w:themeShade="BF"/>
        </w:rPr>
        <w:t>le premier jour des mois de janvier, avril, juillet et octobre de chaque année</w:t>
      </w:r>
      <w:r w:rsidR="000B01B1">
        <w:rPr>
          <w:i/>
          <w:iCs/>
          <w:color w:val="BF4E14" w:themeColor="accent2" w:themeShade="BF"/>
        </w:rPr>
        <w:t> »</w:t>
      </w:r>
      <w:r w:rsidR="00DC7B52" w:rsidRPr="000B01B1">
        <w:rPr>
          <w:i/>
          <w:iCs/>
          <w:color w:val="BF4E14" w:themeColor="accent2" w:themeShade="BF"/>
        </w:rPr>
        <w:t>]</w:t>
      </w:r>
      <w:r w:rsidR="00DC7B52" w:rsidRPr="000B01B1">
        <w:t xml:space="preserve">. </w:t>
      </w:r>
      <w:r w:rsidR="000B01B1" w:rsidRPr="00B1633C">
        <w:t xml:space="preserve">Chaque </w:t>
      </w:r>
      <w:r w:rsidR="000B01B1">
        <w:t>mise à jour</w:t>
      </w:r>
      <w:r w:rsidR="000B01B1" w:rsidRPr="00B1633C">
        <w:t xml:space="preserve"> couvrira la période allant du lendemain du dernier jour de la période de </w:t>
      </w:r>
      <w:r w:rsidR="000B01B1">
        <w:t>mise à jour</w:t>
      </w:r>
      <w:r w:rsidR="000B01B1" w:rsidRPr="00B1633C">
        <w:t xml:space="preserve"> précédente jusqu'à la veille de la date de </w:t>
      </w:r>
      <w:r w:rsidR="000B01B1">
        <w:t>mise à jour</w:t>
      </w:r>
      <w:r w:rsidR="000B01B1" w:rsidRPr="00B1633C">
        <w:t xml:space="preserve"> actuelle</w:t>
      </w:r>
      <w:r w:rsidR="00DC7B52" w:rsidRPr="00C07753">
        <w:t>.</w:t>
      </w:r>
    </w:p>
    <w:p w14:paraId="51C7FB2E" w14:textId="3F22E3C5" w:rsidR="00320126" w:rsidRPr="00C07753" w:rsidRDefault="000B01B1" w:rsidP="00320126">
      <w:pPr>
        <w:pStyle w:val="Heading2"/>
        <w:numPr>
          <w:ilvl w:val="0"/>
          <w:numId w:val="0"/>
        </w:numPr>
        <w:ind w:left="576"/>
      </w:pPr>
      <w:r w:rsidRPr="00902F66">
        <w:t>Une liste d</w:t>
      </w:r>
      <w:r w:rsidR="00902F66" w:rsidRPr="00902F66">
        <w:t>’</w:t>
      </w:r>
      <w:r w:rsidRPr="00902F66">
        <w:t>agents autorisés de</w:t>
      </w:r>
      <w:r w:rsidR="00B6336C" w:rsidRPr="00902F66">
        <w:t xml:space="preserve"> </w:t>
      </w:r>
      <w:r w:rsidR="00B6336C" w:rsidRPr="00902F66">
        <w:rPr>
          <w:i/>
          <w:iCs/>
          <w:color w:val="BF4E14" w:themeColor="accent2" w:themeShade="BF"/>
        </w:rPr>
        <w:t>[</w:t>
      </w:r>
      <w:r w:rsidRPr="00902F66">
        <w:rPr>
          <w:i/>
          <w:iCs/>
          <w:color w:val="BF4E14" w:themeColor="accent2" w:themeShade="BF"/>
        </w:rPr>
        <w:t>INS</w:t>
      </w:r>
      <w:r w:rsidR="00B6336C" w:rsidRPr="00902F66">
        <w:rPr>
          <w:i/>
          <w:iCs/>
          <w:color w:val="BF4E14" w:themeColor="accent2" w:themeShade="BF"/>
        </w:rPr>
        <w:t>]</w:t>
      </w:r>
      <w:r w:rsidR="00B6336C" w:rsidRPr="00902F66">
        <w:t xml:space="preserve">, </w:t>
      </w:r>
      <w:r w:rsidR="00B6336C" w:rsidRPr="00902F66">
        <w:rPr>
          <w:i/>
          <w:iCs/>
          <w:color w:val="BF4E14" w:themeColor="accent2" w:themeShade="BF"/>
        </w:rPr>
        <w:t>[R</w:t>
      </w:r>
      <w:r w:rsidRPr="00902F66">
        <w:rPr>
          <w:i/>
          <w:iCs/>
          <w:color w:val="BF4E14" w:themeColor="accent2" w:themeShade="BF"/>
        </w:rPr>
        <w:t>é</w:t>
      </w:r>
      <w:r w:rsidR="00B6336C" w:rsidRPr="00902F66">
        <w:rPr>
          <w:i/>
          <w:iCs/>
          <w:color w:val="BF4E14" w:themeColor="accent2" w:themeShade="BF"/>
        </w:rPr>
        <w:t>gulat</w:t>
      </w:r>
      <w:r w:rsidRPr="00902F66">
        <w:rPr>
          <w:i/>
          <w:iCs/>
          <w:color w:val="BF4E14" w:themeColor="accent2" w:themeShade="BF"/>
        </w:rPr>
        <w:t>eu</w:t>
      </w:r>
      <w:r w:rsidR="00B6336C" w:rsidRPr="00902F66">
        <w:rPr>
          <w:i/>
          <w:iCs/>
          <w:color w:val="BF4E14" w:themeColor="accent2" w:themeShade="BF"/>
        </w:rPr>
        <w:t>r]</w:t>
      </w:r>
      <w:r w:rsidR="00B6336C" w:rsidRPr="00902F66">
        <w:t xml:space="preserve"> </w:t>
      </w:r>
      <w:r w:rsidRPr="00902F66">
        <w:t>et potentiellement d’autres entités gouvernementales</w:t>
      </w:r>
      <w:r w:rsidR="00B6336C" w:rsidRPr="00902F66">
        <w:t xml:space="preserve"> </w:t>
      </w:r>
      <w:r w:rsidR="00902F66" w:rsidRPr="00902F66">
        <w:t>aura accès au serveur dé</w:t>
      </w:r>
      <w:r w:rsidR="00902F66">
        <w:t xml:space="preserve">dié de </w:t>
      </w:r>
      <w:r w:rsidR="00902F66" w:rsidRPr="000B01B1">
        <w:rPr>
          <w:color w:val="BF4E14" w:themeColor="accent2" w:themeShade="BF"/>
        </w:rPr>
        <w:t>[</w:t>
      </w:r>
      <w:r w:rsidR="00902F66" w:rsidRPr="000B01B1">
        <w:rPr>
          <w:i/>
          <w:iCs/>
          <w:color w:val="BF4E14" w:themeColor="accent2" w:themeShade="BF"/>
        </w:rPr>
        <w:t>OTM 1 ou OTM</w:t>
      </w:r>
      <w:r w:rsidR="00902F66" w:rsidRPr="000B01B1">
        <w:rPr>
          <w:color w:val="BF4E14" w:themeColor="accent2" w:themeShade="BF"/>
        </w:rPr>
        <w:t>]</w:t>
      </w:r>
      <w:r w:rsidR="00902F66" w:rsidRPr="000B01B1">
        <w:t xml:space="preserve"> </w:t>
      </w:r>
      <w:r w:rsidR="00902F66">
        <w:t xml:space="preserve">pour le traitement des données de niveau I nano, via le protocole réseau sécurisé dédié. </w:t>
      </w:r>
      <w:r w:rsidR="00902F66" w:rsidRPr="00902F66">
        <w:t xml:space="preserve">Il sera fourni à chaque agent autorisé des identifiants uniques. La liste des agents </w:t>
      </w:r>
      <w:proofErr w:type="spellStart"/>
      <w:r w:rsidR="00902F66" w:rsidRPr="00902F66">
        <w:t>pré-approuvés</w:t>
      </w:r>
      <w:proofErr w:type="spellEnd"/>
      <w:r w:rsidR="00902F66" w:rsidRPr="00902F66">
        <w:t xml:space="preserve"> dans le cadre du présent Accord est </w:t>
      </w:r>
      <w:proofErr w:type="gramStart"/>
      <w:r w:rsidR="00902F66" w:rsidRPr="00902F66">
        <w:t>fournie</w:t>
      </w:r>
      <w:proofErr w:type="gramEnd"/>
      <w:r w:rsidR="00902F66" w:rsidRPr="00902F66">
        <w:t xml:space="preserve"> en Annexe </w:t>
      </w:r>
      <w:r w:rsidR="00C51A56" w:rsidRPr="00C07753">
        <w:t>2</w:t>
      </w:r>
      <w:r w:rsidR="00320126" w:rsidRPr="00C07753">
        <w:t xml:space="preserve">. </w:t>
      </w:r>
      <w:r w:rsidR="00902F66" w:rsidRPr="00902F66">
        <w:t>Toute modification de la liste devra être approuvée par toutes les Parties.</w:t>
      </w:r>
    </w:p>
    <w:p w14:paraId="7D9F8344" w14:textId="7A97006C" w:rsidR="005B5DCB" w:rsidRPr="00C07753" w:rsidRDefault="00320126" w:rsidP="00320126">
      <w:pPr>
        <w:pStyle w:val="Heading2"/>
        <w:numPr>
          <w:ilvl w:val="0"/>
          <w:numId w:val="0"/>
        </w:numPr>
        <w:ind w:left="576"/>
      </w:pPr>
      <w:r w:rsidRPr="00902F66">
        <w:rPr>
          <w:i/>
          <w:iCs/>
          <w:color w:val="0070C0"/>
        </w:rPr>
        <w:t>[Option</w:t>
      </w:r>
      <w:r w:rsidR="00DC7B52" w:rsidRPr="00902F66">
        <w:rPr>
          <w:i/>
          <w:iCs/>
          <w:color w:val="0070C0"/>
        </w:rPr>
        <w:t xml:space="preserve"> 2</w:t>
      </w:r>
      <w:r w:rsidR="00F8161E" w:rsidRPr="00902F66">
        <w:rPr>
          <w:i/>
          <w:iCs/>
          <w:color w:val="0070C0"/>
        </w:rPr>
        <w:t xml:space="preserve"> (</w:t>
      </w:r>
      <w:r w:rsidR="00902F66" w:rsidRPr="00902F66">
        <w:rPr>
          <w:i/>
          <w:iCs/>
          <w:color w:val="0070C0"/>
        </w:rPr>
        <w:t>recommandée</w:t>
      </w:r>
      <w:r w:rsidR="00F8161E" w:rsidRPr="00902F66">
        <w:rPr>
          <w:i/>
          <w:iCs/>
          <w:color w:val="0070C0"/>
        </w:rPr>
        <w:t>)</w:t>
      </w:r>
      <w:r w:rsidR="00902F66">
        <w:rPr>
          <w:i/>
          <w:iCs/>
          <w:color w:val="0070C0"/>
        </w:rPr>
        <w:t> :</w:t>
      </w:r>
      <w:r w:rsidR="00902F66" w:rsidRPr="00902F66">
        <w:rPr>
          <w:i/>
          <w:iCs/>
          <w:color w:val="0070C0"/>
        </w:rPr>
        <w:t xml:space="preserve"> chaque accès à des données spéc</w:t>
      </w:r>
      <w:r w:rsidR="00902F66">
        <w:rPr>
          <w:i/>
          <w:iCs/>
          <w:color w:val="0070C0"/>
        </w:rPr>
        <w:t xml:space="preserve">ifiques pour une application donnée est régulé par </w:t>
      </w:r>
      <w:proofErr w:type="gramStart"/>
      <w:r w:rsidR="00902F66">
        <w:rPr>
          <w:i/>
          <w:iCs/>
          <w:color w:val="0070C0"/>
        </w:rPr>
        <w:t>un APD dédié</w:t>
      </w:r>
      <w:proofErr w:type="gramEnd"/>
      <w:r w:rsidR="00C53FA8" w:rsidRPr="00902F66">
        <w:rPr>
          <w:i/>
          <w:iCs/>
          <w:color w:val="0070C0"/>
        </w:rPr>
        <w:t>.</w:t>
      </w:r>
      <w:r w:rsidRPr="00902F66">
        <w:rPr>
          <w:i/>
          <w:iCs/>
          <w:color w:val="0070C0"/>
        </w:rPr>
        <w:t>]</w:t>
      </w:r>
      <w:r w:rsidRPr="00902F66">
        <w:t xml:space="preserve"> </w:t>
      </w:r>
      <w:r w:rsidR="00817B0E" w:rsidRPr="00817B0E">
        <w:t>L’accès à des données de niveau I nano sur le serveur dédié de</w:t>
      </w:r>
      <w:r w:rsidR="00817B0E">
        <w:t xml:space="preserve"> </w:t>
      </w:r>
      <w:r w:rsidR="00817B0E" w:rsidRPr="000B01B1">
        <w:rPr>
          <w:color w:val="BF4E14" w:themeColor="accent2" w:themeShade="BF"/>
        </w:rPr>
        <w:t>[</w:t>
      </w:r>
      <w:r w:rsidR="00817B0E" w:rsidRPr="000B01B1">
        <w:rPr>
          <w:i/>
          <w:iCs/>
          <w:color w:val="BF4E14" w:themeColor="accent2" w:themeShade="BF"/>
        </w:rPr>
        <w:t>OTM 1 ou OTM</w:t>
      </w:r>
      <w:r w:rsidR="00817B0E" w:rsidRPr="000B01B1">
        <w:rPr>
          <w:color w:val="BF4E14" w:themeColor="accent2" w:themeShade="BF"/>
        </w:rPr>
        <w:t>]</w:t>
      </w:r>
      <w:r w:rsidR="00817B0E" w:rsidRPr="00817B0E">
        <w:t xml:space="preserve"> sera gouverné par </w:t>
      </w:r>
      <w:r w:rsidR="00817B0E">
        <w:t xml:space="preserve">des Accords de Partage de Données (APD). </w:t>
      </w:r>
      <w:r w:rsidR="00817B0E" w:rsidRPr="00817B0E">
        <w:t>Chaque APD devra sp</w:t>
      </w:r>
      <w:r w:rsidR="00817B0E">
        <w:t>é</w:t>
      </w:r>
      <w:r w:rsidR="00817B0E" w:rsidRPr="00817B0E">
        <w:t xml:space="preserve">cifier les conditions d’accès aux données, en particulier les </w:t>
      </w:r>
      <w:r w:rsidR="00817B0E">
        <w:t xml:space="preserve">spécifications des </w:t>
      </w:r>
      <w:r w:rsidR="00817B0E" w:rsidRPr="00817B0E">
        <w:t xml:space="preserve">données </w:t>
      </w:r>
      <w:r w:rsidR="00817B0E">
        <w:t>(ex. : variables, couverture temporelle et géographique), les restrictions d’accès, la durée d’accès et l’u</w:t>
      </w:r>
      <w:r w:rsidR="0006594C">
        <w:t>tilisation</w:t>
      </w:r>
      <w:r w:rsidR="00817B0E">
        <w:t xml:space="preserve"> prévu</w:t>
      </w:r>
      <w:r w:rsidR="0006594C">
        <w:t>e</w:t>
      </w:r>
      <w:r w:rsidR="00FE0F49" w:rsidRPr="00C07753">
        <w:t>.</w:t>
      </w:r>
    </w:p>
    <w:p w14:paraId="5D773E23" w14:textId="6D24F92A" w:rsidR="000F3DE4" w:rsidRPr="00C07753" w:rsidRDefault="00BC7E9C" w:rsidP="000F3DE4">
      <w:pPr>
        <w:pStyle w:val="Heading2"/>
        <w:numPr>
          <w:ilvl w:val="0"/>
          <w:numId w:val="0"/>
        </w:numPr>
        <w:ind w:left="576"/>
      </w:pPr>
      <w:r w:rsidRPr="00BC7E9C">
        <w:t>La liste des agents autorisés à accéder aux données spécifiées au sein d’un APD devra être exp</w:t>
      </w:r>
      <w:r>
        <w:t xml:space="preserve">licitement définie dans cet APD. </w:t>
      </w:r>
      <w:r w:rsidRPr="00BC7E9C">
        <w:rPr>
          <w:color w:val="BF4E14" w:themeColor="accent2" w:themeShade="BF"/>
        </w:rPr>
        <w:t>[</w:t>
      </w:r>
      <w:r w:rsidRPr="00BC7E9C">
        <w:rPr>
          <w:i/>
          <w:iCs/>
          <w:color w:val="BF4E14" w:themeColor="accent2" w:themeShade="BF"/>
        </w:rPr>
        <w:t>OTM 1 ou OTM</w:t>
      </w:r>
      <w:r w:rsidRPr="00BC7E9C">
        <w:rPr>
          <w:color w:val="BF4E14" w:themeColor="accent2" w:themeShade="BF"/>
        </w:rPr>
        <w:t>]</w:t>
      </w:r>
      <w:r w:rsidRPr="00BC7E9C">
        <w:t xml:space="preserve"> </w:t>
      </w:r>
      <w:r w:rsidRPr="00BC7E9C">
        <w:t>appliquera strictement les conditions d’accès définies, et n’émettra d’identifiants qu’aux agents autorisés</w:t>
      </w:r>
      <w:r w:rsidR="00320126" w:rsidRPr="00C07753">
        <w:t>.</w:t>
      </w:r>
    </w:p>
    <w:p w14:paraId="6C3D6236" w14:textId="60195AE9" w:rsidR="000F3DE4" w:rsidRPr="003B1D74" w:rsidRDefault="00BC7E9C" w:rsidP="000F3DE4">
      <w:pPr>
        <w:pStyle w:val="Heading2"/>
        <w:numPr>
          <w:ilvl w:val="0"/>
          <w:numId w:val="0"/>
        </w:numPr>
        <w:ind w:left="576"/>
      </w:pPr>
      <w:r w:rsidRPr="00BC7E9C">
        <w:t xml:space="preserve">L’APD pourra inclure des dispositions de compensation pour les coûts engagés par </w:t>
      </w:r>
      <w:r w:rsidRPr="00BC7E9C">
        <w:rPr>
          <w:color w:val="BF4E14" w:themeColor="accent2" w:themeShade="BF"/>
        </w:rPr>
        <w:t>[</w:t>
      </w:r>
      <w:r w:rsidRPr="00BC7E9C">
        <w:rPr>
          <w:i/>
          <w:iCs/>
          <w:color w:val="BF4E14" w:themeColor="accent2" w:themeShade="BF"/>
        </w:rPr>
        <w:t>OTM 1 ou OTM</w:t>
      </w:r>
      <w:r w:rsidRPr="00BC7E9C">
        <w:rPr>
          <w:color w:val="BF4E14" w:themeColor="accent2" w:themeShade="BF"/>
        </w:rPr>
        <w:t>]</w:t>
      </w:r>
      <w:r w:rsidRPr="00BC7E9C">
        <w:t xml:space="preserve"> </w:t>
      </w:r>
      <w:r w:rsidRPr="00BC7E9C">
        <w:t xml:space="preserve">pour l’accès et </w:t>
      </w:r>
      <w:r>
        <w:t xml:space="preserve">le traitement des données. </w:t>
      </w:r>
      <w:r w:rsidR="003B1D74" w:rsidRPr="003B1D74">
        <w:t xml:space="preserve">Une telle </w:t>
      </w:r>
      <w:r w:rsidRPr="003B1D74">
        <w:t>compensation</w:t>
      </w:r>
      <w:r w:rsidR="003B1D74" w:rsidRPr="003B1D74">
        <w:t xml:space="preserve"> pourra couvrir des coûts réellement encourus </w:t>
      </w:r>
      <w:r w:rsidR="003B1D74" w:rsidRPr="00BC7E9C">
        <w:t xml:space="preserve">par </w:t>
      </w:r>
      <w:r w:rsidR="003B1D74" w:rsidRPr="00BC7E9C">
        <w:rPr>
          <w:color w:val="BF4E14" w:themeColor="accent2" w:themeShade="BF"/>
        </w:rPr>
        <w:t>[</w:t>
      </w:r>
      <w:r w:rsidR="003B1D74" w:rsidRPr="00BC7E9C">
        <w:rPr>
          <w:i/>
          <w:iCs/>
          <w:color w:val="BF4E14" w:themeColor="accent2" w:themeShade="BF"/>
        </w:rPr>
        <w:t>OTM 1 ou OTM</w:t>
      </w:r>
      <w:r w:rsidR="003B1D74" w:rsidRPr="00BC7E9C">
        <w:rPr>
          <w:color w:val="BF4E14" w:themeColor="accent2" w:themeShade="BF"/>
        </w:rPr>
        <w:t>]</w:t>
      </w:r>
      <w:r w:rsidR="003B1D74">
        <w:rPr>
          <w:color w:val="BF4E14" w:themeColor="accent2" w:themeShade="BF"/>
        </w:rPr>
        <w:t xml:space="preserve"> </w:t>
      </w:r>
      <w:r w:rsidR="003B1D74" w:rsidRPr="003B1D74">
        <w:t>et dûment justifi</w:t>
      </w:r>
      <w:r w:rsidR="003B1D74">
        <w:t>és, pouvant inclure entre autres la préparation des données, l’utilisation et la maintenance de l’infrastructure pour le stockage et le traitement des données et l’assistance technique</w:t>
      </w:r>
      <w:r w:rsidR="00FC6061" w:rsidRPr="00C07753">
        <w:t>.</w:t>
      </w:r>
      <w:r w:rsidR="00955A88" w:rsidRPr="00C07753">
        <w:rPr>
          <w:i/>
          <w:iCs/>
          <w:color w:val="0070C0"/>
        </w:rPr>
        <w:t xml:space="preserve"> </w:t>
      </w:r>
      <w:r w:rsidR="00955A88" w:rsidRPr="003B1D74">
        <w:rPr>
          <w:i/>
          <w:iCs/>
          <w:color w:val="0070C0"/>
        </w:rPr>
        <w:t>[</w:t>
      </w:r>
      <w:r w:rsidR="003B1D74" w:rsidRPr="003B1D74">
        <w:rPr>
          <w:i/>
          <w:iCs/>
          <w:color w:val="0070C0"/>
        </w:rPr>
        <w:t>L’inclusion d’une telle clause ouvrant la possibilité à des dispositions de compensation est optionnelle et ce point doit être di</w:t>
      </w:r>
      <w:r w:rsidR="003B1D74">
        <w:rPr>
          <w:i/>
          <w:iCs/>
          <w:color w:val="0070C0"/>
        </w:rPr>
        <w:t>scuté précisément avec les OTM afin d’établir plus largement des termes de collaboration qui bénéficient à toutes les parties – qu’ils impliquent ou non une compensation monétaire</w:t>
      </w:r>
      <w:r w:rsidR="00955A88" w:rsidRPr="003B1D74">
        <w:rPr>
          <w:i/>
          <w:iCs/>
          <w:color w:val="0070C0"/>
        </w:rPr>
        <w:t>.]</w:t>
      </w:r>
    </w:p>
    <w:p w14:paraId="53AC9B8F" w14:textId="718DBA1C" w:rsidR="00320126" w:rsidRPr="00C07753" w:rsidRDefault="00320126" w:rsidP="00320126">
      <w:pPr>
        <w:pStyle w:val="Heading2"/>
        <w:rPr>
          <w:i/>
          <w:iCs/>
        </w:rPr>
      </w:pPr>
      <w:bookmarkStart w:id="7" w:name="_Ref200113855"/>
      <w:r w:rsidRPr="00C07753">
        <w:rPr>
          <w:i/>
          <w:iCs/>
          <w:color w:val="0070C0"/>
        </w:rPr>
        <w:lastRenderedPageBreak/>
        <w:t>[</w:t>
      </w:r>
      <w:r w:rsidR="003B1D74" w:rsidRPr="00C609CE">
        <w:rPr>
          <w:i/>
          <w:iCs/>
          <w:color w:val="0070C0"/>
        </w:rPr>
        <w:t xml:space="preserve">Cette </w:t>
      </w:r>
      <w:proofErr w:type="spellStart"/>
      <w:r w:rsidR="003B1D74" w:rsidRPr="00C609CE">
        <w:rPr>
          <w:i/>
          <w:iCs/>
          <w:color w:val="0070C0"/>
        </w:rPr>
        <w:t>sous-clause</w:t>
      </w:r>
      <w:proofErr w:type="spellEnd"/>
      <w:r w:rsidR="003B1D74" w:rsidRPr="00C609CE">
        <w:rPr>
          <w:i/>
          <w:iCs/>
          <w:color w:val="0070C0"/>
        </w:rPr>
        <w:t xml:space="preserve"> gouverne l’accès aux données de</w:t>
      </w:r>
      <w:r w:rsidR="003B1D74">
        <w:rPr>
          <w:i/>
          <w:iCs/>
          <w:color w:val="0070C0"/>
        </w:rPr>
        <w:t xml:space="preserve"> niveau I nano pour leur traitement par des </w:t>
      </w:r>
      <w:r w:rsidR="003B1D74">
        <w:rPr>
          <w:i/>
          <w:iCs/>
          <w:color w:val="0070C0"/>
          <w:u w:val="single"/>
        </w:rPr>
        <w:t>partenaires techniques externes</w:t>
      </w:r>
      <w:r w:rsidRPr="00C07753">
        <w:rPr>
          <w:i/>
          <w:iCs/>
          <w:color w:val="0070C0"/>
        </w:rPr>
        <w:t>.]</w:t>
      </w:r>
      <w:bookmarkEnd w:id="7"/>
    </w:p>
    <w:p w14:paraId="1FD8979E" w14:textId="60D68D4A" w:rsidR="00320126" w:rsidRPr="00C07753" w:rsidRDefault="0087432A" w:rsidP="00320126">
      <w:pPr>
        <w:pStyle w:val="Heading2"/>
        <w:numPr>
          <w:ilvl w:val="0"/>
          <w:numId w:val="0"/>
        </w:numPr>
        <w:ind w:left="576"/>
      </w:pPr>
      <w:r w:rsidRPr="0087432A">
        <w:rPr>
          <w:i/>
          <w:iCs/>
          <w:color w:val="BF4E14" w:themeColor="accent2" w:themeShade="BF"/>
        </w:rPr>
        <w:t>[NSO]</w:t>
      </w:r>
      <w:r w:rsidRPr="0087432A">
        <w:t xml:space="preserve"> </w:t>
      </w:r>
      <w:r w:rsidRPr="0087432A">
        <w:t xml:space="preserve">pourra solliciter l’appui d’institutions et partenaires pertinents </w:t>
      </w:r>
      <w:r>
        <w:t xml:space="preserve">afin de répondre au besoin d’expertise technique. </w:t>
      </w:r>
      <w:r w:rsidRPr="0087432A">
        <w:t>De telles collaborations seront formalisées au travers d’accords spéci</w:t>
      </w:r>
      <w:r>
        <w:t xml:space="preserve">fiques et soumis aux conditions de gouvernance et de confidentialité applicables. </w:t>
      </w:r>
      <w:r w:rsidRPr="0087432A">
        <w:t xml:space="preserve">A ce titre, </w:t>
      </w:r>
      <w:r>
        <w:t>un accès aux données de niveau I nano</w:t>
      </w:r>
      <w:r w:rsidR="000A2EAE">
        <w:t xml:space="preserve"> sur le serveur de </w:t>
      </w:r>
      <w:r w:rsidR="000A2EAE" w:rsidRPr="00BC7E9C">
        <w:rPr>
          <w:color w:val="BF4E14" w:themeColor="accent2" w:themeShade="BF"/>
        </w:rPr>
        <w:t>[</w:t>
      </w:r>
      <w:r w:rsidR="000A2EAE" w:rsidRPr="00BC7E9C">
        <w:rPr>
          <w:i/>
          <w:iCs/>
          <w:color w:val="BF4E14" w:themeColor="accent2" w:themeShade="BF"/>
        </w:rPr>
        <w:t>OTM 1 ou OTM</w:t>
      </w:r>
      <w:r w:rsidR="000A2EAE" w:rsidRPr="00BC7E9C">
        <w:rPr>
          <w:color w:val="BF4E14" w:themeColor="accent2" w:themeShade="BF"/>
        </w:rPr>
        <w:t>]</w:t>
      </w:r>
      <w:r>
        <w:t xml:space="preserve"> pourra être fourni à </w:t>
      </w:r>
      <w:r w:rsidRPr="0087432A">
        <w:t>des agents non-gouvernementaux tels qu</w:t>
      </w:r>
      <w:r>
        <w:t>e des chercheurs ou des partenaires techniques sur la base d’un Accord de Partage de Données « Partenaire » (APDP).</w:t>
      </w:r>
    </w:p>
    <w:p w14:paraId="01E6985E" w14:textId="2DE7156D" w:rsidR="000D61EE" w:rsidRPr="000A2EAE" w:rsidRDefault="000A2EAE" w:rsidP="000D61EE">
      <w:pPr>
        <w:pStyle w:val="Heading3"/>
      </w:pPr>
      <w:r w:rsidRPr="000A2EAE">
        <w:t>L’APDP devra être approuvé et signé par toutes les Parties pour</w:t>
      </w:r>
      <w:r>
        <w:t xml:space="preserve"> autoriser l’accès aux données</w:t>
      </w:r>
      <w:r w:rsidR="000D61EE" w:rsidRPr="000A2EAE">
        <w:t>.</w:t>
      </w:r>
    </w:p>
    <w:p w14:paraId="6FA63C3E" w14:textId="70265A5C" w:rsidR="00045665" w:rsidRPr="0006594C" w:rsidRDefault="000A2EAE" w:rsidP="00320126">
      <w:pPr>
        <w:pStyle w:val="Heading3"/>
      </w:pPr>
      <w:r w:rsidRPr="0006594C">
        <w:t>Chaque APDP devra sp</w:t>
      </w:r>
      <w:r w:rsidR="0006594C" w:rsidRPr="0006594C">
        <w:t>é</w:t>
      </w:r>
      <w:r w:rsidRPr="0006594C">
        <w:t xml:space="preserve">cifier </w:t>
      </w:r>
      <w:r w:rsidR="0006594C" w:rsidRPr="0006594C">
        <w:t>les conditions d’accès aux données, en particulier les spécifications des données (ex. : variables, couverture temporelle et géographique), les restrictions d’accès, la durée d’accès et l’</w:t>
      </w:r>
      <w:r w:rsidR="0006594C">
        <w:t>utilisation</w:t>
      </w:r>
      <w:r w:rsidR="0006594C" w:rsidRPr="0006594C">
        <w:t xml:space="preserve"> prévu</w:t>
      </w:r>
      <w:r w:rsidR="0006594C">
        <w:t>e, ainsi que les responsabilités et obligations du partenaire technique</w:t>
      </w:r>
      <w:r w:rsidR="00045665" w:rsidRPr="0006594C">
        <w:t>.</w:t>
      </w:r>
    </w:p>
    <w:p w14:paraId="44B54D1E" w14:textId="7AA18BE2" w:rsidR="000D61EE" w:rsidRPr="00C07753" w:rsidRDefault="0006594C" w:rsidP="00320126">
      <w:pPr>
        <w:pStyle w:val="Heading3"/>
      </w:pPr>
      <w:r w:rsidRPr="0006594C">
        <w:t>La liste des individus autorisés à accéder et traiter les données spécifiées au sein d’</w:t>
      </w:r>
      <w:r>
        <w:t xml:space="preserve">un APDP devra être explicitement définie dans cet accord. </w:t>
      </w:r>
      <w:r w:rsidRPr="0006594C">
        <w:rPr>
          <w:color w:val="BF4E14" w:themeColor="accent2" w:themeShade="BF"/>
        </w:rPr>
        <w:t>[</w:t>
      </w:r>
      <w:r w:rsidRPr="0006594C">
        <w:rPr>
          <w:i/>
          <w:iCs/>
          <w:color w:val="BF4E14" w:themeColor="accent2" w:themeShade="BF"/>
        </w:rPr>
        <w:t>OTM 1 ou OTM</w:t>
      </w:r>
      <w:r w:rsidRPr="0006594C">
        <w:rPr>
          <w:color w:val="BF4E14" w:themeColor="accent2" w:themeShade="BF"/>
        </w:rPr>
        <w:t>]</w:t>
      </w:r>
      <w:r w:rsidRPr="0006594C">
        <w:t xml:space="preserve"> appliquera strictement les conditions d’accès définies</w:t>
      </w:r>
      <w:r w:rsidRPr="0006594C">
        <w:t xml:space="preserve"> dans l’APDP</w:t>
      </w:r>
      <w:r w:rsidRPr="0006594C">
        <w:t xml:space="preserve">, et n’émettra d’identifiants qu’aux </w:t>
      </w:r>
      <w:r w:rsidRPr="0006594C">
        <w:t>individus</w:t>
      </w:r>
      <w:r w:rsidRPr="0006594C">
        <w:t xml:space="preserve"> autorisés</w:t>
      </w:r>
      <w:r w:rsidRPr="0006594C">
        <w:t xml:space="preserve"> et conformé</w:t>
      </w:r>
      <w:r>
        <w:t>ment aux conditions établies dans cet APDP</w:t>
      </w:r>
      <w:r w:rsidR="00045665" w:rsidRPr="00C07753">
        <w:t>.</w:t>
      </w:r>
    </w:p>
    <w:p w14:paraId="44756D77" w14:textId="1450E117" w:rsidR="000D61EE" w:rsidRPr="00C07753" w:rsidRDefault="0006594C" w:rsidP="00320126">
      <w:pPr>
        <w:pStyle w:val="Heading3"/>
      </w:pPr>
      <w:r w:rsidRPr="0006594C">
        <w:t xml:space="preserve">A la signature d’un APDP, </w:t>
      </w:r>
      <w:r w:rsidRPr="0006594C">
        <w:rPr>
          <w:color w:val="BF4E14" w:themeColor="accent2" w:themeShade="BF"/>
        </w:rPr>
        <w:t>[</w:t>
      </w:r>
      <w:r w:rsidRPr="0006594C">
        <w:rPr>
          <w:i/>
          <w:iCs/>
          <w:color w:val="BF4E14" w:themeColor="accent2" w:themeShade="BF"/>
        </w:rPr>
        <w:t>OTM 1 ou OTM</w:t>
      </w:r>
      <w:r w:rsidRPr="0006594C">
        <w:rPr>
          <w:color w:val="BF4E14" w:themeColor="accent2" w:themeShade="BF"/>
        </w:rPr>
        <w:t>]</w:t>
      </w:r>
      <w:r w:rsidRPr="0006594C">
        <w:t xml:space="preserve"> </w:t>
      </w:r>
      <w:r w:rsidRPr="0006594C">
        <w:t>devra fournir des identifiants uniques aux personnes autorisées afin de permettr</w:t>
      </w:r>
      <w:r>
        <w:t xml:space="preserve">e la réalisation de leur mission. </w:t>
      </w:r>
      <w:r w:rsidRPr="00662818">
        <w:t xml:space="preserve">Si l’APDP établit une durée </w:t>
      </w:r>
      <w:r w:rsidR="00662818" w:rsidRPr="00662818">
        <w:t xml:space="preserve">d’accès spécifique, </w:t>
      </w:r>
      <w:r w:rsidR="00662818" w:rsidRPr="00662818">
        <w:rPr>
          <w:color w:val="BF4E14" w:themeColor="accent2" w:themeShade="BF"/>
        </w:rPr>
        <w:t>[</w:t>
      </w:r>
      <w:r w:rsidR="00662818" w:rsidRPr="00662818">
        <w:rPr>
          <w:i/>
          <w:iCs/>
          <w:color w:val="BF4E14" w:themeColor="accent2" w:themeShade="BF"/>
        </w:rPr>
        <w:t>OTM 1 ou OTM</w:t>
      </w:r>
      <w:r w:rsidR="00662818" w:rsidRPr="00662818">
        <w:rPr>
          <w:color w:val="BF4E14" w:themeColor="accent2" w:themeShade="BF"/>
        </w:rPr>
        <w:t>]</w:t>
      </w:r>
      <w:r w:rsidRPr="00662818">
        <w:t xml:space="preserve"> </w:t>
      </w:r>
      <w:r w:rsidR="00662818" w:rsidRPr="00662818">
        <w:t>veillera à la révocation des identifiants à l</w:t>
      </w:r>
      <w:r w:rsidR="00662818">
        <w:t>eur expiration.</w:t>
      </w:r>
    </w:p>
    <w:p w14:paraId="2D62C7E5" w14:textId="5AB1CDAC" w:rsidR="00A36530" w:rsidRPr="0049505B" w:rsidRDefault="00662818" w:rsidP="00FB5D8A">
      <w:pPr>
        <w:pStyle w:val="Heading3"/>
      </w:pPr>
      <w:r w:rsidRPr="00662818">
        <w:t>L’APD</w:t>
      </w:r>
      <w:r>
        <w:t>P</w:t>
      </w:r>
      <w:r w:rsidRPr="00662818">
        <w:t xml:space="preserve"> pourra inclure des dispositions de compensation pour les coûts engagés par </w:t>
      </w:r>
      <w:r w:rsidRPr="00662818">
        <w:rPr>
          <w:color w:val="E97132" w:themeColor="accent2"/>
        </w:rPr>
        <w:t>[</w:t>
      </w:r>
      <w:r w:rsidRPr="00662818">
        <w:rPr>
          <w:i/>
          <w:iCs/>
          <w:color w:val="E97132" w:themeColor="accent2"/>
        </w:rPr>
        <w:t>OTM 1 ou OTM</w:t>
      </w:r>
      <w:r w:rsidRPr="00662818">
        <w:rPr>
          <w:color w:val="E97132" w:themeColor="accent2"/>
        </w:rPr>
        <w:t>]</w:t>
      </w:r>
      <w:r w:rsidRPr="00662818">
        <w:t xml:space="preserve"> pour l’accès et le traitement des données</w:t>
      </w:r>
      <w:r w:rsidRPr="00662818">
        <w:t xml:space="preserve"> effectué dans le cadre</w:t>
      </w:r>
      <w:r>
        <w:t xml:space="preserve"> de l’APDP, sauf si </w:t>
      </w:r>
      <w:proofErr w:type="gramStart"/>
      <w:r>
        <w:t>un APD</w:t>
      </w:r>
      <w:proofErr w:type="gramEnd"/>
      <w:r>
        <w:t xml:space="preserve"> préexistant gouvernant l’accès aux mêmes données inclut des dispositions de compensation. </w:t>
      </w:r>
      <w:r w:rsidRPr="0049505B">
        <w:t xml:space="preserve">Dans ce cas, </w:t>
      </w:r>
      <w:r w:rsidR="0049505B" w:rsidRPr="0049505B">
        <w:t xml:space="preserve">nulle compensation additionnelle ne pourra être accordée dans le cadre </w:t>
      </w:r>
      <w:r w:rsidR="0049505B">
        <w:t>de l’APDP pour l’accès aux données déjà couvertes par l’APD existant</w:t>
      </w:r>
      <w:r w:rsidR="000D61EE" w:rsidRPr="00C07753">
        <w:t>.</w:t>
      </w:r>
      <w:bookmarkStart w:id="8" w:name="_Ref197420341"/>
      <w:bookmarkEnd w:id="6"/>
      <w:r w:rsidR="00F8161E" w:rsidRPr="00C07753">
        <w:rPr>
          <w:i/>
          <w:iCs/>
          <w:color w:val="0070C0"/>
        </w:rPr>
        <w:t xml:space="preserve"> </w:t>
      </w:r>
      <w:r w:rsidR="00F8161E" w:rsidRPr="0049505B">
        <w:rPr>
          <w:i/>
          <w:iCs/>
          <w:color w:val="0070C0"/>
        </w:rPr>
        <w:t>[</w:t>
      </w:r>
      <w:r w:rsidR="0049505B" w:rsidRPr="0049505B">
        <w:rPr>
          <w:i/>
          <w:iCs/>
          <w:color w:val="0070C0"/>
        </w:rPr>
        <w:t xml:space="preserve">Cette provision est à </w:t>
      </w:r>
      <w:proofErr w:type="spellStart"/>
      <w:r w:rsidR="0049505B" w:rsidRPr="0049505B">
        <w:rPr>
          <w:i/>
          <w:iCs/>
          <w:color w:val="0070C0"/>
        </w:rPr>
        <w:t>considérée</w:t>
      </w:r>
      <w:proofErr w:type="spellEnd"/>
      <w:r w:rsidR="0049505B" w:rsidRPr="0049505B">
        <w:rPr>
          <w:i/>
          <w:iCs/>
          <w:color w:val="0070C0"/>
        </w:rPr>
        <w:t xml:space="preserve"> comme une condition raisonnable d’un </w:t>
      </w:r>
      <w:proofErr w:type="spellStart"/>
      <w:r w:rsidR="0049505B" w:rsidRPr="0049505B">
        <w:rPr>
          <w:i/>
          <w:iCs/>
          <w:color w:val="0070C0"/>
        </w:rPr>
        <w:t>potential</w:t>
      </w:r>
      <w:proofErr w:type="spellEnd"/>
      <w:r w:rsidR="0049505B" w:rsidRPr="0049505B">
        <w:rPr>
          <w:i/>
          <w:iCs/>
          <w:color w:val="0070C0"/>
        </w:rPr>
        <w:t xml:space="preserve"> cadre de compensation mais doit être soigneusement discutée avec les OTM partenaires et</w:t>
      </w:r>
      <w:r w:rsidR="0049505B">
        <w:rPr>
          <w:i/>
          <w:iCs/>
          <w:color w:val="0070C0"/>
        </w:rPr>
        <w:t xml:space="preserve"> les termes finaux négociés peuvent varier selon les contextes.</w:t>
      </w:r>
      <w:r w:rsidR="00F8161E" w:rsidRPr="0049505B">
        <w:rPr>
          <w:i/>
          <w:iCs/>
          <w:color w:val="0070C0"/>
        </w:rPr>
        <w:t>]</w:t>
      </w:r>
    </w:p>
    <w:p w14:paraId="5854F79A" w14:textId="0D689CC0" w:rsidR="007550BA" w:rsidRPr="00C07753" w:rsidRDefault="0049505B" w:rsidP="00A36530">
      <w:pPr>
        <w:pStyle w:val="Heading1"/>
      </w:pPr>
      <w:r>
        <w:t>Utilisation permise des données de niveau I nano</w:t>
      </w:r>
      <w:bookmarkEnd w:id="8"/>
    </w:p>
    <w:p w14:paraId="4EABB3B9" w14:textId="74FA36B4" w:rsidR="007550BA" w:rsidRPr="00C07753" w:rsidRDefault="0049505B" w:rsidP="007550BA">
      <w:pPr>
        <w:pStyle w:val="Heading2"/>
      </w:pPr>
      <w:r w:rsidRPr="0049505B">
        <w:t xml:space="preserve">Tout traitement des données de niveau I nano est autorisé dans la mesure où il respecte les objectifs énoncés dans la </w:t>
      </w:r>
      <w:r w:rsidR="007550BA" w:rsidRPr="0049505B">
        <w:t xml:space="preserve">clause </w:t>
      </w:r>
      <w:r w:rsidR="007550BA" w:rsidRPr="00C07753">
        <w:fldChar w:fldCharType="begin"/>
      </w:r>
      <w:r w:rsidR="007550BA" w:rsidRPr="0049505B">
        <w:instrText xml:space="preserve"> REF _Ref197095334 \r \h </w:instrText>
      </w:r>
      <w:r w:rsidR="007550BA" w:rsidRPr="00C07753">
        <w:fldChar w:fldCharType="separate"/>
      </w:r>
      <w:r w:rsidR="00F8161E" w:rsidRPr="0049505B">
        <w:t>1.1</w:t>
      </w:r>
      <w:r w:rsidR="007550BA" w:rsidRPr="00C07753">
        <w:fldChar w:fldCharType="end"/>
      </w:r>
      <w:r w:rsidR="007550BA" w:rsidRPr="0049505B">
        <w:t xml:space="preserve">, </w:t>
      </w:r>
      <w:r>
        <w:t xml:space="preserve">sauf restrictions explicites établies dans l’APD ou l’APDP gouvernant l’accès aux données dans le cadre duquel le traitement est effectué. </w:t>
      </w:r>
      <w:r w:rsidRPr="0049505B">
        <w:t>En cas de conflit, les termes de l’APD ou de l’APDP priment</w:t>
      </w:r>
      <w:r w:rsidR="007550BA" w:rsidRPr="00C07753">
        <w:t xml:space="preserve">. </w:t>
      </w:r>
    </w:p>
    <w:p w14:paraId="2C1AA5D0" w14:textId="42B0FCF6" w:rsidR="007550BA" w:rsidRPr="00D8592B" w:rsidRDefault="007550BA" w:rsidP="007550BA">
      <w:pPr>
        <w:pStyle w:val="Heading2"/>
      </w:pPr>
      <w:r w:rsidRPr="00D8592B">
        <w:rPr>
          <w:i/>
          <w:iCs/>
          <w:color w:val="BF4E14" w:themeColor="accent2" w:themeShade="BF"/>
        </w:rPr>
        <w:lastRenderedPageBreak/>
        <w:t>[</w:t>
      </w:r>
      <w:r w:rsidR="0049505B" w:rsidRPr="00D8592B">
        <w:rPr>
          <w:i/>
          <w:iCs/>
          <w:color w:val="BF4E14" w:themeColor="accent2" w:themeShade="BF"/>
        </w:rPr>
        <w:t>INS</w:t>
      </w:r>
      <w:r w:rsidRPr="00D8592B">
        <w:rPr>
          <w:i/>
          <w:iCs/>
          <w:color w:val="BF4E14" w:themeColor="accent2" w:themeShade="BF"/>
        </w:rPr>
        <w:t>]</w:t>
      </w:r>
      <w:r w:rsidRPr="00D8592B">
        <w:t xml:space="preserve"> </w:t>
      </w:r>
      <w:r w:rsidR="0049505B" w:rsidRPr="00D8592B">
        <w:t xml:space="preserve">et les partenaires techniques ayant accès au serveur de </w:t>
      </w:r>
      <w:r w:rsidR="0049505B" w:rsidRPr="00D8592B">
        <w:rPr>
          <w:color w:val="BF4E14" w:themeColor="accent2" w:themeShade="BF"/>
        </w:rPr>
        <w:t>[</w:t>
      </w:r>
      <w:r w:rsidR="0049505B" w:rsidRPr="00D8592B">
        <w:rPr>
          <w:i/>
          <w:iCs/>
          <w:color w:val="BF4E14" w:themeColor="accent2" w:themeShade="BF"/>
        </w:rPr>
        <w:t>OTM 1 ou OTM</w:t>
      </w:r>
      <w:r w:rsidR="0049505B" w:rsidRPr="00D8592B">
        <w:rPr>
          <w:color w:val="BF4E14" w:themeColor="accent2" w:themeShade="BF"/>
        </w:rPr>
        <w:t>]</w:t>
      </w:r>
      <w:r w:rsidR="0049505B" w:rsidRPr="00D8592B">
        <w:t xml:space="preserve"> dans le cadre </w:t>
      </w:r>
      <w:proofErr w:type="gramStart"/>
      <w:r w:rsidR="0049505B" w:rsidRPr="00D8592B">
        <w:t>d’un APD</w:t>
      </w:r>
      <w:proofErr w:type="gramEnd"/>
      <w:r w:rsidR="0049505B" w:rsidRPr="00D8592B">
        <w:t xml:space="preserve"> ou d’un APDP </w:t>
      </w:r>
      <w:r w:rsidR="00D8592B" w:rsidRPr="00D8592B">
        <w:t>ne pourront traiter les données OTM que pour les objectifs définis dans le présent Accord ou pour les utilisations permises dans l</w:t>
      </w:r>
      <w:r w:rsidR="00D8592B">
        <w:t>e cadre d’un APD ou d’un APDP, et ne peuvent exercer aucun contrôle, ni copier, migrer ou transférer les données à un tiers</w:t>
      </w:r>
      <w:r w:rsidRPr="00D8592B">
        <w:t>.</w:t>
      </w:r>
    </w:p>
    <w:p w14:paraId="1557DBBB" w14:textId="30C4F042" w:rsidR="007550BA" w:rsidRPr="00D8592B" w:rsidRDefault="00D8592B" w:rsidP="007550BA">
      <w:pPr>
        <w:pStyle w:val="Heading2"/>
        <w:rPr>
          <w:lang w:val="en-IE"/>
        </w:rPr>
      </w:pPr>
      <w:bookmarkStart w:id="9" w:name="_Hlk197540033"/>
      <w:r w:rsidRPr="00D8592B">
        <w:t>Les indicateurs issus du traitement des données de niveau I nano et destinés à être publié</w:t>
      </w:r>
      <w:r>
        <w:t>s devront respecter les règles de confidentialité et faire l’objet de mesures appropriées pour garantir l’anonymat.</w:t>
      </w:r>
    </w:p>
    <w:bookmarkEnd w:id="9"/>
    <w:p w14:paraId="5B707B45" w14:textId="6E1BB660" w:rsidR="00C55552" w:rsidRPr="00D8592B" w:rsidRDefault="00890E9E" w:rsidP="00C55552">
      <w:pPr>
        <w:pStyle w:val="Heading1"/>
      </w:pPr>
      <w:r w:rsidRPr="00D8592B">
        <w:t>Transfer</w:t>
      </w:r>
      <w:r w:rsidR="00D8592B" w:rsidRPr="00D8592B">
        <w:t xml:space="preserve">t des indicateurs de </w:t>
      </w:r>
      <w:r w:rsidRPr="00D8592B">
        <w:rPr>
          <w:i/>
          <w:iCs/>
          <w:color w:val="BF4E14" w:themeColor="accent2" w:themeShade="BF"/>
        </w:rPr>
        <w:t>[</w:t>
      </w:r>
      <w:r w:rsidR="00D8592B" w:rsidRPr="00D8592B">
        <w:rPr>
          <w:i/>
          <w:iCs/>
          <w:color w:val="BF4E14" w:themeColor="accent2" w:themeShade="BF"/>
        </w:rPr>
        <w:t>OTM</w:t>
      </w:r>
      <w:r w:rsidRPr="00D8592B">
        <w:rPr>
          <w:i/>
          <w:iCs/>
          <w:color w:val="BF4E14" w:themeColor="accent2" w:themeShade="BF"/>
        </w:rPr>
        <w:t xml:space="preserve"> 1 o</w:t>
      </w:r>
      <w:r w:rsidR="00D8592B" w:rsidRPr="00D8592B">
        <w:rPr>
          <w:i/>
          <w:iCs/>
          <w:color w:val="BF4E14" w:themeColor="accent2" w:themeShade="BF"/>
        </w:rPr>
        <w:t>u</w:t>
      </w:r>
      <w:r w:rsidRPr="00D8592B">
        <w:rPr>
          <w:i/>
          <w:iCs/>
          <w:color w:val="BF4E14" w:themeColor="accent2" w:themeShade="BF"/>
        </w:rPr>
        <w:t xml:space="preserve"> </w:t>
      </w:r>
      <w:proofErr w:type="spellStart"/>
      <w:r w:rsidR="00D8592B" w:rsidRPr="00D8592B">
        <w:rPr>
          <w:i/>
          <w:iCs/>
          <w:color w:val="BF4E14" w:themeColor="accent2" w:themeShade="BF"/>
        </w:rPr>
        <w:t>OTM</w:t>
      </w:r>
      <w:r w:rsidRPr="00D8592B">
        <w:rPr>
          <w:i/>
          <w:iCs/>
          <w:color w:val="BF4E14" w:themeColor="accent2" w:themeShade="BF"/>
        </w:rPr>
        <w:t>s</w:t>
      </w:r>
      <w:proofErr w:type="spellEnd"/>
      <w:r w:rsidRPr="00D8592B">
        <w:rPr>
          <w:i/>
          <w:iCs/>
          <w:color w:val="BF4E14" w:themeColor="accent2" w:themeShade="BF"/>
        </w:rPr>
        <w:t>]</w:t>
      </w:r>
      <w:r w:rsidRPr="00D8592B">
        <w:t xml:space="preserve"> </w:t>
      </w:r>
      <w:r w:rsidR="00D8592B" w:rsidRPr="00D8592B">
        <w:t>à</w:t>
      </w:r>
      <w:r w:rsidRPr="00D8592B">
        <w:t xml:space="preserve"> </w:t>
      </w:r>
      <w:r w:rsidRPr="00D8592B">
        <w:rPr>
          <w:i/>
          <w:iCs/>
          <w:color w:val="BF4E14" w:themeColor="accent2" w:themeShade="BF"/>
        </w:rPr>
        <w:t>[</w:t>
      </w:r>
      <w:r w:rsidR="00D8592B" w:rsidRPr="00D8592B">
        <w:rPr>
          <w:i/>
          <w:iCs/>
          <w:color w:val="BF4E14" w:themeColor="accent2" w:themeShade="BF"/>
        </w:rPr>
        <w:t>INS</w:t>
      </w:r>
      <w:r w:rsidRPr="00D8592B">
        <w:rPr>
          <w:i/>
          <w:iCs/>
          <w:color w:val="BF4E14" w:themeColor="accent2" w:themeShade="BF"/>
        </w:rPr>
        <w:t>]</w:t>
      </w:r>
    </w:p>
    <w:p w14:paraId="0CF3D659" w14:textId="1F6C2D93" w:rsidR="00C55552" w:rsidRPr="00D8592B" w:rsidRDefault="00C55552" w:rsidP="00C55552">
      <w:pPr>
        <w:pStyle w:val="Heading2"/>
        <w:numPr>
          <w:ilvl w:val="0"/>
          <w:numId w:val="0"/>
        </w:numPr>
        <w:ind w:left="576"/>
      </w:pPr>
      <w:r w:rsidRPr="00D8592B">
        <w:rPr>
          <w:i/>
          <w:iCs/>
          <w:color w:val="0070C0"/>
        </w:rPr>
        <w:t>[</w:t>
      </w:r>
      <w:r w:rsidR="00D8592B" w:rsidRPr="00D8592B">
        <w:rPr>
          <w:i/>
          <w:iCs/>
          <w:color w:val="0070C0"/>
        </w:rPr>
        <w:t>Cette clause encadre le transfert d’indicateurs issus des données de nive</w:t>
      </w:r>
      <w:r w:rsidR="00D8592B">
        <w:rPr>
          <w:i/>
          <w:iCs/>
          <w:color w:val="0070C0"/>
        </w:rPr>
        <w:t>au I nano de l’OTM vers l’INS</w:t>
      </w:r>
      <w:r w:rsidR="00942F22" w:rsidRPr="00D8592B">
        <w:rPr>
          <w:i/>
          <w:iCs/>
          <w:color w:val="0070C0"/>
        </w:rPr>
        <w:t>.</w:t>
      </w:r>
      <w:r w:rsidRPr="00D8592B">
        <w:rPr>
          <w:i/>
          <w:iCs/>
          <w:color w:val="0070C0"/>
        </w:rPr>
        <w:t>]</w:t>
      </w:r>
    </w:p>
    <w:p w14:paraId="03467D21" w14:textId="3B940BB8" w:rsidR="00EB3DEC" w:rsidRPr="00C07753" w:rsidRDefault="00D8592B" w:rsidP="00FA0BAA">
      <w:pPr>
        <w:pStyle w:val="Heading2"/>
      </w:pPr>
      <w:r w:rsidRPr="00D8592B">
        <w:t xml:space="preserve">Le transfert des indicateurs de </w:t>
      </w:r>
      <w:r w:rsidR="00F8161E" w:rsidRPr="00D8592B">
        <w:rPr>
          <w:i/>
          <w:iCs/>
          <w:color w:val="BF4E14" w:themeColor="accent2" w:themeShade="BF"/>
        </w:rPr>
        <w:t>[</w:t>
      </w:r>
      <w:r w:rsidRPr="00D8592B">
        <w:rPr>
          <w:i/>
          <w:iCs/>
          <w:color w:val="BF4E14" w:themeColor="accent2" w:themeShade="BF"/>
        </w:rPr>
        <w:t>OTM</w:t>
      </w:r>
      <w:r w:rsidR="00F8161E" w:rsidRPr="00D8592B">
        <w:rPr>
          <w:i/>
          <w:iCs/>
          <w:color w:val="BF4E14" w:themeColor="accent2" w:themeShade="BF"/>
        </w:rPr>
        <w:t xml:space="preserve"> 1 o</w:t>
      </w:r>
      <w:r w:rsidRPr="00D8592B">
        <w:rPr>
          <w:i/>
          <w:iCs/>
          <w:color w:val="BF4E14" w:themeColor="accent2" w:themeShade="BF"/>
        </w:rPr>
        <w:t xml:space="preserve">u </w:t>
      </w:r>
      <w:proofErr w:type="spellStart"/>
      <w:r w:rsidRPr="00D8592B">
        <w:rPr>
          <w:i/>
          <w:iCs/>
          <w:color w:val="BF4E14" w:themeColor="accent2" w:themeShade="BF"/>
        </w:rPr>
        <w:t>OTMs</w:t>
      </w:r>
      <w:proofErr w:type="spellEnd"/>
      <w:r w:rsidR="00F8161E" w:rsidRPr="00D8592B">
        <w:rPr>
          <w:i/>
          <w:iCs/>
          <w:color w:val="BF4E14" w:themeColor="accent2" w:themeShade="BF"/>
        </w:rPr>
        <w:t xml:space="preserve">] </w:t>
      </w:r>
      <w:r w:rsidRPr="00D8592B">
        <w:t>vers</w:t>
      </w:r>
      <w:r w:rsidR="000F5615" w:rsidRPr="00D8592B">
        <w:t xml:space="preserve"> </w:t>
      </w:r>
      <w:r w:rsidR="000F5615" w:rsidRPr="00D8592B">
        <w:rPr>
          <w:i/>
          <w:iCs/>
          <w:color w:val="BF4E14" w:themeColor="accent2" w:themeShade="BF"/>
        </w:rPr>
        <w:t>[</w:t>
      </w:r>
      <w:r w:rsidRPr="00D8592B">
        <w:rPr>
          <w:i/>
          <w:iCs/>
          <w:color w:val="BF4E14" w:themeColor="accent2" w:themeShade="BF"/>
        </w:rPr>
        <w:t>INS</w:t>
      </w:r>
      <w:r w:rsidR="000F5615" w:rsidRPr="00D8592B">
        <w:rPr>
          <w:i/>
          <w:iCs/>
          <w:color w:val="BF4E14" w:themeColor="accent2" w:themeShade="BF"/>
        </w:rPr>
        <w:t>]</w:t>
      </w:r>
      <w:r w:rsidR="000F5615" w:rsidRPr="00D8592B">
        <w:t xml:space="preserve"> </w:t>
      </w:r>
      <w:r w:rsidRPr="00D8592B">
        <w:t xml:space="preserve">sera </w:t>
      </w:r>
      <w:r>
        <w:t xml:space="preserve">encadré par l’APD ou APDP applicable, qui devra fournir des spécifications précises sur les indicateurs autorisés et pouvant être transférés à </w:t>
      </w:r>
      <w:r w:rsidR="00104115" w:rsidRPr="00C07753">
        <w:rPr>
          <w:i/>
          <w:iCs/>
          <w:color w:val="BF4E14" w:themeColor="accent2" w:themeShade="BF"/>
        </w:rPr>
        <w:t>[</w:t>
      </w:r>
      <w:r>
        <w:rPr>
          <w:i/>
          <w:iCs/>
          <w:color w:val="BF4E14" w:themeColor="accent2" w:themeShade="BF"/>
        </w:rPr>
        <w:t>INS</w:t>
      </w:r>
      <w:r w:rsidR="00104115" w:rsidRPr="00C07753">
        <w:rPr>
          <w:i/>
          <w:iCs/>
          <w:color w:val="BF4E14" w:themeColor="accent2" w:themeShade="BF"/>
        </w:rPr>
        <w:t>]</w:t>
      </w:r>
      <w:r w:rsidR="0001622B" w:rsidRPr="00C07753">
        <w:t>.</w:t>
      </w:r>
    </w:p>
    <w:p w14:paraId="3E36770A" w14:textId="6153CE7F" w:rsidR="00CB5DD2" w:rsidRPr="00B43AEB" w:rsidRDefault="00B43AEB" w:rsidP="00CB5DD2">
      <w:pPr>
        <w:pStyle w:val="Heading2"/>
      </w:pPr>
      <w:r w:rsidRPr="00B43AEB">
        <w:t xml:space="preserve">Une fois le traitement effectué, </w:t>
      </w:r>
      <w:r w:rsidRPr="00B43AEB">
        <w:rPr>
          <w:i/>
          <w:iCs/>
          <w:color w:val="BF4E14" w:themeColor="accent2" w:themeShade="BF"/>
        </w:rPr>
        <w:t xml:space="preserve">[OTM 1 ou </w:t>
      </w:r>
      <w:proofErr w:type="spellStart"/>
      <w:r w:rsidRPr="00B43AEB">
        <w:rPr>
          <w:i/>
          <w:iCs/>
          <w:color w:val="BF4E14" w:themeColor="accent2" w:themeShade="BF"/>
        </w:rPr>
        <w:t>OTMs</w:t>
      </w:r>
      <w:proofErr w:type="spellEnd"/>
      <w:r w:rsidRPr="00B43AEB">
        <w:rPr>
          <w:i/>
          <w:iCs/>
          <w:color w:val="BF4E14" w:themeColor="accent2" w:themeShade="BF"/>
        </w:rPr>
        <w:t xml:space="preserve">] </w:t>
      </w:r>
      <w:r w:rsidRPr="00B43AEB">
        <w:t xml:space="preserve">pourra vérifier la conformité des indicateurs vis-à-vis des spécifications établies dans l’APD ou APDP applicable et transférera les indicateurs autorisés à </w:t>
      </w:r>
      <w:r w:rsidRPr="00B43AEB">
        <w:rPr>
          <w:i/>
          <w:iCs/>
          <w:color w:val="BF4E14" w:themeColor="accent2" w:themeShade="BF"/>
        </w:rPr>
        <w:t>[</w:t>
      </w:r>
      <w:r w:rsidRPr="00B43AEB">
        <w:rPr>
          <w:i/>
          <w:iCs/>
          <w:color w:val="BF4E14" w:themeColor="accent2" w:themeShade="BF"/>
        </w:rPr>
        <w:t>INS</w:t>
      </w:r>
      <w:r w:rsidRPr="00B43AEB">
        <w:rPr>
          <w:i/>
          <w:iCs/>
          <w:color w:val="BF4E14" w:themeColor="accent2" w:themeShade="BF"/>
        </w:rPr>
        <w:t>]</w:t>
      </w:r>
      <w:r w:rsidR="00104115" w:rsidRPr="00B43AEB">
        <w:t xml:space="preserve"> </w:t>
      </w:r>
      <w:r w:rsidRPr="00B43AEB">
        <w:t>via un protocole de transfert sécurisé mis en place par</w:t>
      </w:r>
      <w:r>
        <w:t xml:space="preserve"> </w:t>
      </w:r>
      <w:r w:rsidRPr="00B43AEB">
        <w:rPr>
          <w:i/>
          <w:iCs/>
          <w:color w:val="BF4E14" w:themeColor="accent2" w:themeShade="BF"/>
        </w:rPr>
        <w:t>[INS]</w:t>
      </w:r>
      <w:r w:rsidRPr="00B43AEB">
        <w:t>, dans des délais raisonnables pouvant être précisément spécifiés au sein de l’APD ou APDP concerné</w:t>
      </w:r>
      <w:r w:rsidR="00CB5DD2" w:rsidRPr="00B43AEB">
        <w:t>.</w:t>
      </w:r>
      <w:r w:rsidR="00C9653E" w:rsidRPr="00B43AEB">
        <w:rPr>
          <w:i/>
          <w:iCs/>
          <w:color w:val="0070C0"/>
        </w:rPr>
        <w:t xml:space="preserve"> [</w:t>
      </w:r>
      <w:r w:rsidRPr="00B43AEB">
        <w:rPr>
          <w:i/>
          <w:iCs/>
          <w:color w:val="0070C0"/>
        </w:rPr>
        <w:t>Le gouvernement peut décider d’assigner la responsabilité de la mise en place du serveur et du protocole de transfert sécurisé à une autre entité gouvernementale telle que le régulateur. Dans ce cas, cette clause devra être ajustée</w:t>
      </w:r>
      <w:r w:rsidR="00C9653E" w:rsidRPr="00B43AEB">
        <w:rPr>
          <w:i/>
          <w:iCs/>
          <w:color w:val="0070C0"/>
        </w:rPr>
        <w:t>.]</w:t>
      </w:r>
    </w:p>
    <w:p w14:paraId="4A81972B" w14:textId="03F1B5F1" w:rsidR="00CB5DD2" w:rsidRPr="00863C1A" w:rsidRDefault="00863C1A" w:rsidP="00CB5DD2">
      <w:pPr>
        <w:pStyle w:val="Heading2"/>
      </w:pPr>
      <w:r w:rsidRPr="00863C1A">
        <w:t xml:space="preserve">Les Parties reconnaissent la possibilité que les données OTM puissant être utilisées pour soutenir la réponse à une situation d’urgence. A cet égard, </w:t>
      </w:r>
      <w:r w:rsidRPr="00863C1A">
        <w:rPr>
          <w:i/>
          <w:iCs/>
          <w:color w:val="BF4E14" w:themeColor="accent2" w:themeShade="BF"/>
        </w:rPr>
        <w:t xml:space="preserve">[OTM 1 ou </w:t>
      </w:r>
      <w:proofErr w:type="spellStart"/>
      <w:r w:rsidRPr="00863C1A">
        <w:rPr>
          <w:i/>
          <w:iCs/>
          <w:color w:val="BF4E14" w:themeColor="accent2" w:themeShade="BF"/>
        </w:rPr>
        <w:t>OTMs</w:t>
      </w:r>
      <w:proofErr w:type="spellEnd"/>
      <w:r w:rsidRPr="00863C1A">
        <w:rPr>
          <w:i/>
          <w:iCs/>
          <w:color w:val="BF4E14" w:themeColor="accent2" w:themeShade="BF"/>
        </w:rPr>
        <w:t>]</w:t>
      </w:r>
      <w:r w:rsidRPr="00863C1A">
        <w:t xml:space="preserve"> s’engage à s’efforcer de faciliter le transfert des indicateurs requis dans des délais conformes aux besoins opérationnels</w:t>
      </w:r>
      <w:r>
        <w:t xml:space="preserve"> de la situation</w:t>
      </w:r>
      <w:r w:rsidR="00EC3CA4" w:rsidRPr="00863C1A">
        <w:t xml:space="preserve">. </w:t>
      </w:r>
    </w:p>
    <w:p w14:paraId="36AE0858" w14:textId="22163A07" w:rsidR="002F4994" w:rsidRPr="00C07753" w:rsidRDefault="00863C1A" w:rsidP="002F4994">
      <w:pPr>
        <w:pStyle w:val="Heading1"/>
      </w:pPr>
      <w:r>
        <w:t xml:space="preserve">Accès aux indicateurs sur le serveur de </w:t>
      </w:r>
      <w:r w:rsidR="002F4994" w:rsidRPr="00C07753">
        <w:rPr>
          <w:i/>
          <w:iCs/>
          <w:color w:val="BF4E14" w:themeColor="accent2" w:themeShade="BF"/>
        </w:rPr>
        <w:t>[</w:t>
      </w:r>
      <w:r>
        <w:rPr>
          <w:i/>
          <w:iCs/>
          <w:color w:val="BF4E14" w:themeColor="accent2" w:themeShade="BF"/>
        </w:rPr>
        <w:t>INS</w:t>
      </w:r>
      <w:r w:rsidR="002F4994" w:rsidRPr="00C07753">
        <w:rPr>
          <w:i/>
          <w:iCs/>
          <w:color w:val="BF4E14" w:themeColor="accent2" w:themeShade="BF"/>
        </w:rPr>
        <w:t>]</w:t>
      </w:r>
      <w:r w:rsidR="00E53883" w:rsidRPr="00C07753">
        <w:rPr>
          <w:i/>
          <w:iCs/>
          <w:color w:val="0070C0"/>
        </w:rPr>
        <w:t xml:space="preserve"> </w:t>
      </w:r>
      <w:r w:rsidR="00E53883" w:rsidRPr="00C07753">
        <w:rPr>
          <w:b w:val="0"/>
          <w:bCs/>
          <w:i/>
          <w:iCs/>
          <w:color w:val="0070C0"/>
        </w:rPr>
        <w:t>[</w:t>
      </w:r>
      <w:r>
        <w:rPr>
          <w:b w:val="0"/>
          <w:bCs/>
          <w:i/>
          <w:iCs/>
          <w:color w:val="0070C0"/>
        </w:rPr>
        <w:t>Si la responsabilité d’héberger le serveur recevant les indicateurs est déléguée à une autre entité gouvernementale (ex. : le régulateur), il faudra bien veiller à remplacer</w:t>
      </w:r>
      <w:r w:rsidR="00EC3E47">
        <w:rPr>
          <w:b w:val="0"/>
          <w:bCs/>
          <w:i/>
          <w:iCs/>
          <w:color w:val="0070C0"/>
        </w:rPr>
        <w:t xml:space="preserve"> « </w:t>
      </w:r>
      <w:r w:rsidR="00EC3E47" w:rsidRPr="00C07753">
        <w:rPr>
          <w:b w:val="0"/>
          <w:bCs/>
          <w:i/>
          <w:iCs/>
          <w:color w:val="0070C0"/>
        </w:rPr>
        <w:t>[</w:t>
      </w:r>
      <w:r w:rsidR="00EC3E47">
        <w:rPr>
          <w:b w:val="0"/>
          <w:bCs/>
          <w:i/>
          <w:iCs/>
          <w:color w:val="0070C0"/>
        </w:rPr>
        <w:t>INS</w:t>
      </w:r>
      <w:r w:rsidR="00EC3E47" w:rsidRPr="00C07753">
        <w:rPr>
          <w:b w:val="0"/>
          <w:bCs/>
          <w:i/>
          <w:iCs/>
          <w:color w:val="0070C0"/>
        </w:rPr>
        <w:t>]</w:t>
      </w:r>
      <w:r w:rsidR="00EC3E47">
        <w:rPr>
          <w:b w:val="0"/>
          <w:bCs/>
          <w:i/>
          <w:iCs/>
          <w:color w:val="0070C0"/>
        </w:rPr>
        <w:t> » par le nom de l’entité en question dans la clause ci-dessous</w:t>
      </w:r>
      <w:r w:rsidR="00E53883" w:rsidRPr="00C07753">
        <w:rPr>
          <w:b w:val="0"/>
          <w:bCs/>
          <w:i/>
          <w:iCs/>
          <w:color w:val="0070C0"/>
        </w:rPr>
        <w:t>.]</w:t>
      </w:r>
    </w:p>
    <w:p w14:paraId="4118D05E" w14:textId="612EE41C" w:rsidR="00243AEB" w:rsidRPr="00C07753" w:rsidRDefault="00EC3E47" w:rsidP="00243AEB">
      <w:pPr>
        <w:pStyle w:val="Heading2"/>
      </w:pPr>
      <w:r w:rsidRPr="00EC3E47">
        <w:t xml:space="preserve">Il est attribué à </w:t>
      </w:r>
      <w:r w:rsidR="0037712A" w:rsidRPr="00EC3E47">
        <w:rPr>
          <w:i/>
          <w:iCs/>
          <w:color w:val="BF4E14" w:themeColor="accent2" w:themeShade="BF"/>
        </w:rPr>
        <w:t>[</w:t>
      </w:r>
      <w:r w:rsidRPr="00EC3E47">
        <w:rPr>
          <w:i/>
          <w:iCs/>
          <w:color w:val="BF4E14" w:themeColor="accent2" w:themeShade="BF"/>
        </w:rPr>
        <w:t>INS</w:t>
      </w:r>
      <w:r w:rsidR="0037712A" w:rsidRPr="00EC3E47">
        <w:rPr>
          <w:i/>
          <w:iCs/>
          <w:color w:val="BF4E14" w:themeColor="accent2" w:themeShade="BF"/>
        </w:rPr>
        <w:t>]</w:t>
      </w:r>
      <w:r w:rsidR="0037712A" w:rsidRPr="00EC3E47">
        <w:t xml:space="preserve"> </w:t>
      </w:r>
      <w:r w:rsidRPr="00EC3E47">
        <w:t>un large mandat pour la gestion et l</w:t>
      </w:r>
      <w:r>
        <w:t>a régulation de l’accès aux indicateurs transférés sur son serveur</w:t>
      </w:r>
      <w:r w:rsidR="003E03BE">
        <w:t xml:space="preserve">, ce qui inclut les autorisations d’accès à des agents gouvernementaux pour le traitement des indicateurs à des fins statistiques et analytiques. </w:t>
      </w:r>
      <w:r w:rsidR="003E03BE" w:rsidRPr="003E03BE">
        <w:rPr>
          <w:i/>
          <w:iCs/>
          <w:color w:val="BF4E14" w:themeColor="accent2" w:themeShade="BF"/>
        </w:rPr>
        <w:t>[INS]</w:t>
      </w:r>
      <w:r w:rsidR="003E03BE" w:rsidRPr="003E03BE">
        <w:t xml:space="preserve"> </w:t>
      </w:r>
      <w:r w:rsidR="003E03BE" w:rsidRPr="003E03BE">
        <w:t>devra établir des protocol</w:t>
      </w:r>
      <w:r w:rsidR="003E03BE">
        <w:t>e</w:t>
      </w:r>
      <w:r w:rsidR="003E03BE" w:rsidRPr="003E03BE">
        <w:t>s internes et des mesures de sé</w:t>
      </w:r>
      <w:r w:rsidR="003E03BE">
        <w:t xml:space="preserve">curité permettant d’assurer que l’accès aux indicateurs sur son serveur est effectivement limité aux agents autorisés. </w:t>
      </w:r>
      <w:r w:rsidR="003E03BE" w:rsidRPr="003E03BE">
        <w:t>Toutes les décisions relatives à l’accès au serveur devront êt</w:t>
      </w:r>
      <w:r w:rsidR="003E03BE">
        <w:t>re documentées et pourront être auditées et révisées selon le besoin.</w:t>
      </w:r>
    </w:p>
    <w:p w14:paraId="08050393" w14:textId="4903A3EE" w:rsidR="0037712A" w:rsidRPr="003E03BE" w:rsidRDefault="003E03BE" w:rsidP="00243AEB">
      <w:pPr>
        <w:pStyle w:val="Heading2"/>
        <w:rPr>
          <w:lang w:val="en-IE"/>
        </w:rPr>
      </w:pPr>
      <w:r w:rsidRPr="003E03BE">
        <w:t xml:space="preserve">Lorsque des indicateurs seront partagés dans le cadre </w:t>
      </w:r>
      <w:proofErr w:type="gramStart"/>
      <w:r w:rsidRPr="003E03BE">
        <w:t>d’un APD</w:t>
      </w:r>
      <w:proofErr w:type="gramEnd"/>
      <w:r w:rsidRPr="003E03BE">
        <w:t xml:space="preserve">, </w:t>
      </w:r>
      <w:r w:rsidRPr="003E03BE">
        <w:rPr>
          <w:i/>
          <w:iCs/>
          <w:color w:val="BF4E14" w:themeColor="accent2" w:themeShade="BF"/>
        </w:rPr>
        <w:t>[INS]</w:t>
      </w:r>
      <w:r w:rsidRPr="003E03BE">
        <w:t xml:space="preserve"> </w:t>
      </w:r>
      <w:r w:rsidRPr="003E03BE">
        <w:t xml:space="preserve">devra se conformer strictement </w:t>
      </w:r>
      <w:r>
        <w:t>aux restrictions relatives à l’accès aux indicateurs sur son serveur le cas échéant.</w:t>
      </w:r>
    </w:p>
    <w:p w14:paraId="13A186C2" w14:textId="4ABD2960" w:rsidR="00243AEB" w:rsidRPr="003E03BE" w:rsidRDefault="003E03BE" w:rsidP="00243AEB">
      <w:pPr>
        <w:pStyle w:val="Heading2"/>
        <w:rPr>
          <w:lang w:val="en-IE"/>
        </w:rPr>
      </w:pPr>
      <w:r w:rsidRPr="003E03BE">
        <w:lastRenderedPageBreak/>
        <w:t xml:space="preserve">L’accès à des indicateurs sur le serveur de </w:t>
      </w:r>
      <w:r w:rsidRPr="003E03BE">
        <w:rPr>
          <w:i/>
          <w:iCs/>
          <w:color w:val="BF4E14" w:themeColor="accent2" w:themeShade="BF"/>
        </w:rPr>
        <w:t>[INS]</w:t>
      </w:r>
      <w:r w:rsidRPr="003E03BE">
        <w:t xml:space="preserve"> </w:t>
      </w:r>
      <w:r w:rsidRPr="003E03BE">
        <w:t>pour des partenaires techniques externes sera ré</w:t>
      </w:r>
      <w:r>
        <w:t>gulé par l’APDP concerné.</w:t>
      </w:r>
    </w:p>
    <w:p w14:paraId="5D9C1634" w14:textId="788981FE" w:rsidR="0037712A" w:rsidRPr="00C07753" w:rsidRDefault="0009112B" w:rsidP="0003110F">
      <w:pPr>
        <w:pStyle w:val="Heading1"/>
      </w:pPr>
      <w:r>
        <w:t>Publication des résultats</w:t>
      </w:r>
    </w:p>
    <w:p w14:paraId="2A234CB9" w14:textId="3135CEF8" w:rsidR="0037712A" w:rsidRPr="0009112B" w:rsidRDefault="0009112B" w:rsidP="0037712A">
      <w:pPr>
        <w:pStyle w:val="Heading2"/>
      </w:pPr>
      <w:r w:rsidRPr="0009112B">
        <w:t>Les Parties conviennent que tout résultat de recherche ou constat statistique produit dans le cadre du présent Accord peut être publié, sous réserve que</w:t>
      </w:r>
      <w:r>
        <w:t xml:space="preserve"> toutes les Parties soient dûment créditées et que toute information sensible ou confidentielle soit anonymisée</w:t>
      </w:r>
      <w:r w:rsidR="0037712A" w:rsidRPr="0009112B">
        <w:t>.</w:t>
      </w:r>
    </w:p>
    <w:p w14:paraId="274323E2" w14:textId="161C0BC7" w:rsidR="0037712A" w:rsidRPr="0009112B" w:rsidRDefault="0009112B" w:rsidP="0037712A">
      <w:pPr>
        <w:pStyle w:val="Heading2"/>
      </w:pPr>
      <w:r w:rsidRPr="0009112B">
        <w:t xml:space="preserve">Avant toute publication, les Parties seront informées par écrit et disposeront d’un délai de </w:t>
      </w:r>
      <w:r w:rsidR="0037712A" w:rsidRPr="0009112B">
        <w:rPr>
          <w:i/>
          <w:iCs/>
          <w:color w:val="BF4E14" w:themeColor="accent2" w:themeShade="BF"/>
        </w:rPr>
        <w:t>[X]</w:t>
      </w:r>
      <w:r w:rsidR="0037712A" w:rsidRPr="0009112B">
        <w:t xml:space="preserve"> </w:t>
      </w:r>
      <w:r>
        <w:t>jours</w:t>
      </w:r>
      <w:r w:rsidR="0037712A" w:rsidRPr="0009112B">
        <w:t xml:space="preserve"> </w:t>
      </w:r>
      <w:r>
        <w:t>pour faire part de leurs commentaires et éventuelles objections</w:t>
      </w:r>
      <w:r w:rsidR="0037712A" w:rsidRPr="0009112B">
        <w:t xml:space="preserve">. </w:t>
      </w:r>
      <w:r w:rsidRPr="0009112B">
        <w:t>L’absence de réponse au terme de ce délai sera interprétée comme une absence d’objection, et la publication sera considérée comme approuvée</w:t>
      </w:r>
      <w:r w:rsidR="0037712A" w:rsidRPr="00C07753">
        <w:t xml:space="preserve">. </w:t>
      </w:r>
      <w:r w:rsidRPr="0009112B">
        <w:t xml:space="preserve">Tout litige concernant la publication de résultats sera </w:t>
      </w:r>
      <w:r>
        <w:t>résolu par accord mutuel ou arbitrage</w:t>
      </w:r>
      <w:r w:rsidR="0037712A" w:rsidRPr="0009112B">
        <w:t>.</w:t>
      </w:r>
    </w:p>
    <w:p w14:paraId="2EED5E30" w14:textId="4E112A9B" w:rsidR="0037712A" w:rsidRPr="00C07753" w:rsidRDefault="0009112B" w:rsidP="0037712A">
      <w:pPr>
        <w:pStyle w:val="Heading2"/>
      </w:pPr>
      <w:r w:rsidRPr="0009112B">
        <w:t>Les indicateurs et résultats jugés trop sensibles pour une diffusion publique mais destinés seulement à une entité gouvernementa</w:t>
      </w:r>
      <w:r>
        <w:t>le pour usage interne pourra faire l’objet d’un partage restreint, à condition que cette dernière signe un accord de confidentialité engageant sa responsabilité en cas de diffusion non autorisée</w:t>
      </w:r>
      <w:r w:rsidR="0037712A" w:rsidRPr="00C07753">
        <w:t>.</w:t>
      </w:r>
    </w:p>
    <w:p w14:paraId="0426827F" w14:textId="2EBD3F16" w:rsidR="00FB5D8A" w:rsidRPr="0009112B" w:rsidRDefault="0009112B" w:rsidP="0003110F">
      <w:pPr>
        <w:pStyle w:val="Heading1"/>
      </w:pPr>
      <w:bookmarkStart w:id="10" w:name="_Ref200106115"/>
      <w:r w:rsidRPr="0009112B">
        <w:t>Disposition</w:t>
      </w:r>
      <w:r w:rsidR="007A6CA8">
        <w:t>s</w:t>
      </w:r>
      <w:r w:rsidRPr="0009112B">
        <w:t xml:space="preserve"> spécifiques pour</w:t>
      </w:r>
      <w:r>
        <w:t xml:space="preserve"> l’intégration de </w:t>
      </w:r>
      <w:proofErr w:type="spellStart"/>
      <w:r>
        <w:t>microdonnées</w:t>
      </w:r>
      <w:proofErr w:type="spellEnd"/>
      <w:r>
        <w:t xml:space="preserve"> d’enquête</w:t>
      </w:r>
      <w:bookmarkEnd w:id="10"/>
    </w:p>
    <w:p w14:paraId="4A70CA08" w14:textId="70FCD4CD" w:rsidR="00FB5D8A" w:rsidRPr="008079CB" w:rsidRDefault="00FB5D8A" w:rsidP="00FB5D8A">
      <w:pPr>
        <w:pStyle w:val="Heading2"/>
        <w:numPr>
          <w:ilvl w:val="0"/>
          <w:numId w:val="0"/>
        </w:numPr>
        <w:ind w:left="576"/>
        <w:rPr>
          <w:i/>
          <w:iCs/>
        </w:rPr>
      </w:pPr>
      <w:r w:rsidRPr="008079CB">
        <w:rPr>
          <w:i/>
          <w:iCs/>
          <w:color w:val="0070C0"/>
        </w:rPr>
        <w:t>[</w:t>
      </w:r>
      <w:r w:rsidR="008079CB" w:rsidRPr="008079CB">
        <w:rPr>
          <w:i/>
          <w:iCs/>
          <w:color w:val="0070C0"/>
        </w:rPr>
        <w:t>Cette clause permet de réguler l’accès aux données de niveau I nano stockées sur le serveur de l’OTM et leur traitement ainsi que le transfert d’indicateurs au serveur de l’INS</w:t>
      </w:r>
      <w:r w:rsidR="008079CB">
        <w:rPr>
          <w:i/>
          <w:iCs/>
          <w:color w:val="0070C0"/>
        </w:rPr>
        <w:t xml:space="preserve">, et ce dans le contexte d’applications sensibles impliquant l’appariement de données de niveau I micro avec des </w:t>
      </w:r>
      <w:proofErr w:type="spellStart"/>
      <w:r w:rsidR="008079CB">
        <w:rPr>
          <w:i/>
          <w:iCs/>
          <w:color w:val="0070C0"/>
        </w:rPr>
        <w:t>microdonnées</w:t>
      </w:r>
      <w:proofErr w:type="spellEnd"/>
      <w:r w:rsidR="008079CB">
        <w:rPr>
          <w:i/>
          <w:iCs/>
          <w:color w:val="0070C0"/>
        </w:rPr>
        <w:t xml:space="preserve"> d’enquêtes au niveau individuel ou ménage</w:t>
      </w:r>
      <w:r w:rsidRPr="008079CB">
        <w:rPr>
          <w:i/>
          <w:iCs/>
          <w:color w:val="0070C0"/>
        </w:rPr>
        <w:t>.]</w:t>
      </w:r>
    </w:p>
    <w:p w14:paraId="351C030B" w14:textId="31998312" w:rsidR="00FB5D8A" w:rsidRPr="00C07753" w:rsidRDefault="008079CB" w:rsidP="00FB5D8A">
      <w:pPr>
        <w:pStyle w:val="Heading2"/>
      </w:pPr>
      <w:bookmarkStart w:id="11" w:name="_Ref197539874"/>
      <w:r>
        <w:t xml:space="preserve">Etant leur sensibilité en matière de protection de la vie privée, tout projet d’utilisation des données OTM impliquant l’appariement d’indicateurs de niveau I micro avec des </w:t>
      </w:r>
      <w:proofErr w:type="spellStart"/>
      <w:r>
        <w:t>microdonnées</w:t>
      </w:r>
      <w:proofErr w:type="spellEnd"/>
      <w:r>
        <w:t xml:space="preserve"> au niveau individuel ou ménage (ex. : implémentation de méthodes de correction des biais, ou estimation de la pauvreté au niveau ménage) devra faire l’objet d’un accord spécifique, c’est-à-dire un Accord de Partage de Données « micro » (APD micro)</w:t>
      </w:r>
      <w:r w:rsidR="00C92EEC">
        <w:t>. Celui-ci peut impliquer</w:t>
      </w:r>
      <w:r>
        <w:t xml:space="preserve"> </w:t>
      </w:r>
      <w:r w:rsidR="00C92EEC" w:rsidRPr="00C07753">
        <w:rPr>
          <w:i/>
          <w:iCs/>
          <w:color w:val="BF4E14" w:themeColor="accent2" w:themeShade="BF"/>
        </w:rPr>
        <w:t>[</w:t>
      </w:r>
      <w:r w:rsidR="00C92EEC">
        <w:rPr>
          <w:i/>
          <w:iCs/>
          <w:color w:val="BF4E14" w:themeColor="accent2" w:themeShade="BF"/>
        </w:rPr>
        <w:t>OTM</w:t>
      </w:r>
      <w:r w:rsidR="00C92EEC" w:rsidRPr="00C07753">
        <w:rPr>
          <w:i/>
          <w:iCs/>
          <w:color w:val="BF4E14" w:themeColor="accent2" w:themeShade="BF"/>
        </w:rPr>
        <w:t xml:space="preserve"> 1 o</w:t>
      </w:r>
      <w:r w:rsidR="00C92EEC">
        <w:rPr>
          <w:i/>
          <w:iCs/>
          <w:color w:val="BF4E14" w:themeColor="accent2" w:themeShade="BF"/>
        </w:rPr>
        <w:t>u</w:t>
      </w:r>
      <w:r w:rsidR="00C92EEC" w:rsidRPr="00C07753">
        <w:rPr>
          <w:i/>
          <w:iCs/>
          <w:color w:val="BF4E14" w:themeColor="accent2" w:themeShade="BF"/>
        </w:rPr>
        <w:t xml:space="preserve"> </w:t>
      </w:r>
      <w:proofErr w:type="spellStart"/>
      <w:r w:rsidR="00C92EEC">
        <w:rPr>
          <w:i/>
          <w:iCs/>
          <w:color w:val="BF4E14" w:themeColor="accent2" w:themeShade="BF"/>
        </w:rPr>
        <w:t>OTM</w:t>
      </w:r>
      <w:r w:rsidR="00C92EEC" w:rsidRPr="00C07753">
        <w:rPr>
          <w:i/>
          <w:iCs/>
          <w:color w:val="BF4E14" w:themeColor="accent2" w:themeShade="BF"/>
        </w:rPr>
        <w:t>s</w:t>
      </w:r>
      <w:proofErr w:type="spellEnd"/>
      <w:r w:rsidR="00C92EEC" w:rsidRPr="00C07753">
        <w:rPr>
          <w:i/>
          <w:iCs/>
          <w:color w:val="BF4E14" w:themeColor="accent2" w:themeShade="BF"/>
        </w:rPr>
        <w:t>]</w:t>
      </w:r>
      <w:r w:rsidR="00C92EEC" w:rsidRPr="00C07753">
        <w:t xml:space="preserve">, </w:t>
      </w:r>
      <w:r w:rsidR="00C92EEC" w:rsidRPr="00C07753">
        <w:rPr>
          <w:i/>
          <w:iCs/>
          <w:color w:val="BF4E14" w:themeColor="accent2" w:themeShade="BF"/>
        </w:rPr>
        <w:t>[</w:t>
      </w:r>
      <w:r w:rsidR="00C92EEC">
        <w:rPr>
          <w:i/>
          <w:iCs/>
          <w:color w:val="BF4E14" w:themeColor="accent2" w:themeShade="BF"/>
        </w:rPr>
        <w:t>INS</w:t>
      </w:r>
      <w:r w:rsidR="00C92EEC" w:rsidRPr="00C07753">
        <w:rPr>
          <w:i/>
          <w:iCs/>
          <w:color w:val="BF4E14" w:themeColor="accent2" w:themeShade="BF"/>
        </w:rPr>
        <w:t>]</w:t>
      </w:r>
      <w:r w:rsidR="00C92EEC" w:rsidRPr="00C07753">
        <w:t xml:space="preserve">, </w:t>
      </w:r>
      <w:r w:rsidR="00C92EEC">
        <w:t>mais aussi d’autres entités gouvernementales ou des partenaires techniques externes.</w:t>
      </w:r>
      <w:bookmarkEnd w:id="11"/>
    </w:p>
    <w:p w14:paraId="7CD0FC27" w14:textId="4F9FDF32" w:rsidR="0074317E" w:rsidRPr="00C92EEC" w:rsidRDefault="00C92EEC" w:rsidP="0074317E">
      <w:pPr>
        <w:pStyle w:val="Heading2"/>
      </w:pPr>
      <w:r w:rsidRPr="00C92EEC">
        <w:rPr>
          <w:u w:val="single"/>
        </w:rPr>
        <w:t>Accès aux données de niveau I nano</w:t>
      </w:r>
      <w:r w:rsidR="0074317E" w:rsidRPr="00C92EEC">
        <w:t xml:space="preserve">. </w:t>
      </w:r>
      <w:r w:rsidRPr="00C92EEC">
        <w:t>L’APD micro régulera l’accès pour</w:t>
      </w:r>
      <w:r>
        <w:t xml:space="preserve"> traitement </w:t>
      </w:r>
      <w:r w:rsidRPr="00C92EEC">
        <w:t>aux données de niveau I nano</w:t>
      </w:r>
      <w:r>
        <w:t xml:space="preserve"> sur le serveur dédié de </w:t>
      </w:r>
      <w:r w:rsidRPr="00C07753">
        <w:rPr>
          <w:i/>
          <w:iCs/>
          <w:color w:val="BF4E14" w:themeColor="accent2" w:themeShade="BF"/>
        </w:rPr>
        <w:t>[</w:t>
      </w:r>
      <w:r>
        <w:rPr>
          <w:i/>
          <w:iCs/>
          <w:color w:val="BF4E14" w:themeColor="accent2" w:themeShade="BF"/>
        </w:rPr>
        <w:t>OTM</w:t>
      </w:r>
      <w:r w:rsidRPr="00C07753">
        <w:rPr>
          <w:i/>
          <w:iCs/>
          <w:color w:val="BF4E14" w:themeColor="accent2" w:themeShade="BF"/>
        </w:rPr>
        <w:t xml:space="preserve"> 1 o</w:t>
      </w:r>
      <w:r>
        <w:rPr>
          <w:i/>
          <w:iCs/>
          <w:color w:val="BF4E14" w:themeColor="accent2" w:themeShade="BF"/>
        </w:rPr>
        <w:t>u</w:t>
      </w:r>
      <w:r w:rsidRPr="00C07753">
        <w:rPr>
          <w:i/>
          <w:iCs/>
          <w:color w:val="BF4E14" w:themeColor="accent2" w:themeShade="BF"/>
        </w:rPr>
        <w:t xml:space="preserve"> </w:t>
      </w:r>
      <w:proofErr w:type="spellStart"/>
      <w:r>
        <w:rPr>
          <w:i/>
          <w:iCs/>
          <w:color w:val="BF4E14" w:themeColor="accent2" w:themeShade="BF"/>
        </w:rPr>
        <w:t>OTM</w:t>
      </w:r>
      <w:r w:rsidRPr="00C07753">
        <w:rPr>
          <w:i/>
          <w:iCs/>
          <w:color w:val="BF4E14" w:themeColor="accent2" w:themeShade="BF"/>
        </w:rPr>
        <w:t>s</w:t>
      </w:r>
      <w:proofErr w:type="spellEnd"/>
      <w:r w:rsidRPr="00C07753">
        <w:rPr>
          <w:i/>
          <w:iCs/>
          <w:color w:val="BF4E14" w:themeColor="accent2" w:themeShade="BF"/>
        </w:rPr>
        <w:t>]</w:t>
      </w:r>
      <w:r w:rsidR="0074317E" w:rsidRPr="00C92EEC">
        <w:t>.</w:t>
      </w:r>
    </w:p>
    <w:p w14:paraId="453F31DE" w14:textId="733EC585" w:rsidR="0074317E" w:rsidRPr="00C07753" w:rsidRDefault="00C92EEC" w:rsidP="0074317E">
      <w:pPr>
        <w:pStyle w:val="Heading3"/>
      </w:pPr>
      <w:r>
        <w:t xml:space="preserve">Chaque APD micro devra spécifier les conditions d’accès aux données, </w:t>
      </w:r>
      <w:r w:rsidRPr="00C92EEC">
        <w:t>en particulier les spécifications des données (ex. : variables, couverture temporelle et géographique), les restrictions d’accès, la durée d’accès et l’utilisation prévue</w:t>
      </w:r>
      <w:r>
        <w:t xml:space="preserve"> </w:t>
      </w:r>
      <w:r w:rsidR="00E94DDB" w:rsidRPr="00C07753">
        <w:t xml:space="preserve">(cf. clause </w:t>
      </w:r>
      <w:r w:rsidR="00E94DDB" w:rsidRPr="00C07753">
        <w:fldChar w:fldCharType="begin"/>
      </w:r>
      <w:r w:rsidR="00E94DDB" w:rsidRPr="00C07753">
        <w:instrText xml:space="preserve"> REF _Ref200045155 \r \h </w:instrText>
      </w:r>
      <w:r w:rsidR="00E94DDB" w:rsidRPr="00C07753">
        <w:fldChar w:fldCharType="separate"/>
      </w:r>
      <w:r w:rsidR="00895EAB" w:rsidRPr="00C07753">
        <w:t>13.3</w:t>
      </w:r>
      <w:r w:rsidR="00E94DDB" w:rsidRPr="00C07753">
        <w:fldChar w:fldCharType="end"/>
      </w:r>
      <w:r w:rsidR="00E94DDB" w:rsidRPr="00C07753">
        <w:t xml:space="preserve"> </w:t>
      </w:r>
      <w:r>
        <w:t>relative à la spécification des indicateurs de niveau I micro autorisés</w:t>
      </w:r>
      <w:r w:rsidR="00E94DDB" w:rsidRPr="00C07753">
        <w:t>)</w:t>
      </w:r>
      <w:r w:rsidR="0074317E" w:rsidRPr="00C07753">
        <w:t>.</w:t>
      </w:r>
    </w:p>
    <w:p w14:paraId="0EA77648" w14:textId="264497A8" w:rsidR="00131DBD" w:rsidRPr="00C07753" w:rsidRDefault="00C92EEC" w:rsidP="0074317E">
      <w:pPr>
        <w:pStyle w:val="Heading3"/>
      </w:pPr>
      <w:r w:rsidRPr="00C92EEC">
        <w:lastRenderedPageBreak/>
        <w:t>La liste des individus autorisés à accéder et traiter les données spécifiées au sein d’un APD</w:t>
      </w:r>
      <w:r>
        <w:t xml:space="preserve"> micro</w:t>
      </w:r>
      <w:r w:rsidRPr="00C92EEC">
        <w:t xml:space="preserve"> devra être explicitement définie dans cet accord. </w:t>
      </w:r>
      <w:r w:rsidRPr="00C92EEC">
        <w:rPr>
          <w:i/>
          <w:iCs/>
          <w:color w:val="BF4E14" w:themeColor="accent2" w:themeShade="BF"/>
        </w:rPr>
        <w:t>[OTM 1 ou OTM]</w:t>
      </w:r>
      <w:r w:rsidRPr="00C92EEC">
        <w:rPr>
          <w:color w:val="BF4E14" w:themeColor="accent2" w:themeShade="BF"/>
        </w:rPr>
        <w:t xml:space="preserve"> </w:t>
      </w:r>
      <w:r w:rsidRPr="00C92EEC">
        <w:t>appliquera strictement les conditions d’accès définies dans l’APD</w:t>
      </w:r>
      <w:r>
        <w:t xml:space="preserve"> micro</w:t>
      </w:r>
      <w:r w:rsidRPr="00C92EEC">
        <w:t>, et n’émettra d’identifiants qu’aux individus autorisés et conformément aux conditions établies dans cet APD</w:t>
      </w:r>
      <w:r>
        <w:t xml:space="preserve"> micro</w:t>
      </w:r>
      <w:r w:rsidRPr="00C92EEC">
        <w:t>.</w:t>
      </w:r>
    </w:p>
    <w:p w14:paraId="7B92E379" w14:textId="307ADDFA" w:rsidR="0074317E" w:rsidRPr="00CA49FD" w:rsidRDefault="00131DBD" w:rsidP="00131DBD">
      <w:pPr>
        <w:pStyle w:val="Heading3"/>
      </w:pPr>
      <w:r w:rsidRPr="00CA49FD">
        <w:rPr>
          <w:i/>
          <w:iCs/>
          <w:color w:val="BF4E14" w:themeColor="accent2" w:themeShade="BF"/>
        </w:rPr>
        <w:t>[</w:t>
      </w:r>
      <w:r w:rsidR="00C92EEC" w:rsidRPr="00CA49FD">
        <w:rPr>
          <w:i/>
          <w:iCs/>
          <w:color w:val="BF4E14" w:themeColor="accent2" w:themeShade="BF"/>
        </w:rPr>
        <w:t>INS</w:t>
      </w:r>
      <w:r w:rsidRPr="00CA49FD">
        <w:rPr>
          <w:i/>
          <w:iCs/>
          <w:color w:val="BF4E14" w:themeColor="accent2" w:themeShade="BF"/>
        </w:rPr>
        <w:t xml:space="preserve">] </w:t>
      </w:r>
      <w:r w:rsidR="00C92EEC" w:rsidRPr="00CA49FD">
        <w:t>et</w:t>
      </w:r>
      <w:r w:rsidRPr="00CA49FD">
        <w:t xml:space="preserve"> </w:t>
      </w:r>
      <w:r w:rsidR="00C92EEC" w:rsidRPr="00CA49FD">
        <w:rPr>
          <w:i/>
          <w:iCs/>
          <w:color w:val="BF4E14" w:themeColor="accent2" w:themeShade="BF"/>
        </w:rPr>
        <w:t>[OTM 1 ou OTM]</w:t>
      </w:r>
      <w:r w:rsidRPr="00CA49FD">
        <w:t xml:space="preserve"> </w:t>
      </w:r>
      <w:r w:rsidR="00C92EEC" w:rsidRPr="00CA49FD">
        <w:t xml:space="preserve">établiront conjointement une procédure </w:t>
      </w:r>
      <w:r w:rsidR="00CA49FD" w:rsidRPr="00CA49FD">
        <w:t>sécurisé</w:t>
      </w:r>
      <w:r w:rsidR="00BF58B5">
        <w:t>e</w:t>
      </w:r>
      <w:r w:rsidR="00CA49FD" w:rsidRPr="00CA49FD">
        <w:t xml:space="preserve"> </w:t>
      </w:r>
      <w:r w:rsidR="00C92EEC" w:rsidRPr="00CA49FD">
        <w:t xml:space="preserve">de </w:t>
      </w:r>
      <w:proofErr w:type="spellStart"/>
      <w:r w:rsidR="00C92EEC" w:rsidRPr="00CA49FD">
        <w:t>pseudonymisation</w:t>
      </w:r>
      <w:proofErr w:type="spellEnd"/>
      <w:r w:rsidR="00C92EEC" w:rsidRPr="00CA49FD">
        <w:t xml:space="preserve"> et d’appariement </w:t>
      </w:r>
      <w:r w:rsidR="00CA49FD" w:rsidRPr="00CA49FD">
        <w:t>de</w:t>
      </w:r>
      <w:r w:rsidR="00CA49FD">
        <w:t xml:space="preserve">s données OTM et des </w:t>
      </w:r>
      <w:proofErr w:type="spellStart"/>
      <w:r w:rsidR="00CA49FD">
        <w:t>microdonnées</w:t>
      </w:r>
      <w:proofErr w:type="spellEnd"/>
      <w:r w:rsidR="00CA49FD">
        <w:t>, permettant d’effectuer la combinaison effective de ces deux sources de données tout en garantissant la protection de la vie privée et la sécurité des données</w:t>
      </w:r>
      <w:r w:rsidRPr="00CA49FD">
        <w:t>.</w:t>
      </w:r>
    </w:p>
    <w:p w14:paraId="6AC54CF0" w14:textId="59028A4B" w:rsidR="006757BB" w:rsidRPr="00CA49FD" w:rsidRDefault="00CA49FD" w:rsidP="00FB5D8A">
      <w:pPr>
        <w:pStyle w:val="Heading2"/>
      </w:pPr>
      <w:bookmarkStart w:id="12" w:name="_Ref200045155"/>
      <w:r>
        <w:rPr>
          <w:u w:val="single"/>
        </w:rPr>
        <w:t>Indicateurs de niveau I micro autorisés</w:t>
      </w:r>
      <w:r w:rsidR="00A97DF4" w:rsidRPr="00C07753">
        <w:t xml:space="preserve">. </w:t>
      </w:r>
      <w:r w:rsidRPr="00CA49FD">
        <w:t>L’APD micro devra clairement spécifier les indicateurs de niveau I micro autoris</w:t>
      </w:r>
      <w:r>
        <w:t>és dans le cadre de l’accord proposé</w:t>
      </w:r>
      <w:r w:rsidR="00A97DF4" w:rsidRPr="00CA49FD">
        <w:t>.</w:t>
      </w:r>
      <w:bookmarkEnd w:id="12"/>
    </w:p>
    <w:p w14:paraId="5B92D990" w14:textId="3A8845B8" w:rsidR="00824C06" w:rsidRPr="00C07753" w:rsidRDefault="00BF58B5" w:rsidP="00FB5D8A">
      <w:pPr>
        <w:pStyle w:val="Heading2"/>
      </w:pPr>
      <w:r w:rsidRPr="00BF58B5">
        <w:rPr>
          <w:u w:val="single"/>
        </w:rPr>
        <w:t xml:space="preserve">Transfert des indicateurs de niveau I micro vers le serveur </w:t>
      </w:r>
      <w:r>
        <w:rPr>
          <w:u w:val="single"/>
        </w:rPr>
        <w:t xml:space="preserve">de </w:t>
      </w:r>
      <w:r w:rsidR="0096204E" w:rsidRPr="00BF58B5">
        <w:rPr>
          <w:i/>
          <w:iCs/>
          <w:color w:val="BF4E14" w:themeColor="accent2" w:themeShade="BF"/>
        </w:rPr>
        <w:t>[</w:t>
      </w:r>
      <w:r>
        <w:rPr>
          <w:i/>
          <w:iCs/>
          <w:color w:val="BF4E14" w:themeColor="accent2" w:themeShade="BF"/>
        </w:rPr>
        <w:t>INS</w:t>
      </w:r>
      <w:r w:rsidR="0096204E" w:rsidRPr="00BF58B5">
        <w:rPr>
          <w:i/>
          <w:iCs/>
          <w:color w:val="BF4E14" w:themeColor="accent2" w:themeShade="BF"/>
        </w:rPr>
        <w:t>]</w:t>
      </w:r>
      <w:r w:rsidR="006757BB" w:rsidRPr="00BF58B5">
        <w:t xml:space="preserve">. </w:t>
      </w:r>
      <w:r w:rsidR="007D05CB" w:rsidRPr="00691C98">
        <w:rPr>
          <w:i/>
          <w:iCs/>
          <w:color w:val="BF4E14" w:themeColor="accent2" w:themeShade="BF"/>
        </w:rPr>
        <w:t>[</w:t>
      </w:r>
      <w:r w:rsidRPr="00691C98">
        <w:rPr>
          <w:i/>
          <w:iCs/>
          <w:color w:val="BF4E14" w:themeColor="accent2" w:themeShade="BF"/>
        </w:rPr>
        <w:t xml:space="preserve">OTM </w:t>
      </w:r>
      <w:r w:rsidR="007D05CB" w:rsidRPr="00691C98">
        <w:rPr>
          <w:i/>
          <w:iCs/>
          <w:color w:val="BF4E14" w:themeColor="accent2" w:themeShade="BF"/>
        </w:rPr>
        <w:t xml:space="preserve">1 or </w:t>
      </w:r>
      <w:proofErr w:type="spellStart"/>
      <w:r w:rsidRPr="00691C98">
        <w:rPr>
          <w:i/>
          <w:iCs/>
          <w:color w:val="BF4E14" w:themeColor="accent2" w:themeShade="BF"/>
        </w:rPr>
        <w:t>OTM</w:t>
      </w:r>
      <w:r w:rsidR="007D05CB" w:rsidRPr="00691C98">
        <w:rPr>
          <w:i/>
          <w:iCs/>
          <w:color w:val="BF4E14" w:themeColor="accent2" w:themeShade="BF"/>
        </w:rPr>
        <w:t>s</w:t>
      </w:r>
      <w:proofErr w:type="spellEnd"/>
      <w:r w:rsidR="007D05CB" w:rsidRPr="00691C98">
        <w:rPr>
          <w:i/>
          <w:iCs/>
          <w:color w:val="BF4E14" w:themeColor="accent2" w:themeShade="BF"/>
        </w:rPr>
        <w:t>]</w:t>
      </w:r>
      <w:r w:rsidR="007D05CB" w:rsidRPr="00691C98">
        <w:t xml:space="preserve"> </w:t>
      </w:r>
      <w:r w:rsidR="00691C98" w:rsidRPr="00691C98">
        <w:t xml:space="preserve">pourra vérifier la conformité des indicateurs vis-à-vis des spécifications établies dans l’APD </w:t>
      </w:r>
      <w:r w:rsidR="00691C98">
        <w:t>micro</w:t>
      </w:r>
      <w:r w:rsidR="00691C98" w:rsidRPr="00691C98">
        <w:t xml:space="preserve"> applicable et transférera les indicateurs autorisés </w:t>
      </w:r>
      <w:r w:rsidR="00691C98">
        <w:t xml:space="preserve">dans le cadre de l’APD micro </w:t>
      </w:r>
      <w:r w:rsidR="00691C98" w:rsidRPr="00691C98">
        <w:t xml:space="preserve">à </w:t>
      </w:r>
      <w:r w:rsidR="00691C98" w:rsidRPr="00691C98">
        <w:rPr>
          <w:i/>
          <w:iCs/>
          <w:color w:val="BF4E14" w:themeColor="accent2" w:themeShade="BF"/>
        </w:rPr>
        <w:t>[INS]</w:t>
      </w:r>
      <w:r w:rsidR="00691C98" w:rsidRPr="00691C98">
        <w:t xml:space="preserve"> via </w:t>
      </w:r>
      <w:r w:rsidR="00691C98">
        <w:t>le</w:t>
      </w:r>
      <w:r w:rsidR="00691C98" w:rsidRPr="00691C98">
        <w:t xml:space="preserve"> protocole de transfert sécurisé mis en place par </w:t>
      </w:r>
      <w:r w:rsidR="00691C98" w:rsidRPr="00691C98">
        <w:rPr>
          <w:i/>
          <w:iCs/>
          <w:color w:val="BF4E14" w:themeColor="accent2" w:themeShade="BF"/>
        </w:rPr>
        <w:t>[INS]</w:t>
      </w:r>
      <w:r w:rsidR="007D05CB" w:rsidRPr="00691C98">
        <w:t>.</w:t>
      </w:r>
      <w:r w:rsidR="00895EAB" w:rsidRPr="00691C98">
        <w:rPr>
          <w:i/>
          <w:iCs/>
          <w:color w:val="0070C0"/>
        </w:rPr>
        <w:t xml:space="preserve"> </w:t>
      </w:r>
      <w:r w:rsidR="00895EAB" w:rsidRPr="00C07753">
        <w:rPr>
          <w:i/>
          <w:iCs/>
          <w:color w:val="0070C0"/>
        </w:rPr>
        <w:t>[</w:t>
      </w:r>
      <w:r w:rsidR="00691C98">
        <w:rPr>
          <w:i/>
          <w:iCs/>
          <w:color w:val="0070C0"/>
        </w:rPr>
        <w:t xml:space="preserve">Si la responsabilité d’héberger le serveur recevant les indicateurs est assignée à une autre entité gouvernementale (ex. : le régulateur), il faudra veiller à bien remplacer </w:t>
      </w:r>
      <w:r w:rsidR="00691C98" w:rsidRPr="00C07753">
        <w:rPr>
          <w:i/>
          <w:iCs/>
          <w:color w:val="0070C0"/>
        </w:rPr>
        <w:t>[</w:t>
      </w:r>
      <w:r w:rsidR="00691C98">
        <w:rPr>
          <w:i/>
          <w:iCs/>
          <w:color w:val="0070C0"/>
        </w:rPr>
        <w:t>INS</w:t>
      </w:r>
      <w:r w:rsidR="00691C98" w:rsidRPr="00C07753">
        <w:rPr>
          <w:i/>
          <w:iCs/>
          <w:color w:val="0070C0"/>
        </w:rPr>
        <w:t xml:space="preserve">] </w:t>
      </w:r>
      <w:r w:rsidR="00691C98">
        <w:rPr>
          <w:i/>
          <w:iCs/>
          <w:color w:val="0070C0"/>
        </w:rPr>
        <w:t>par le nom de l’entité approprié</w:t>
      </w:r>
      <w:r w:rsidR="00895EAB" w:rsidRPr="00C07753">
        <w:rPr>
          <w:i/>
          <w:iCs/>
          <w:color w:val="0070C0"/>
        </w:rPr>
        <w:t>.]</w:t>
      </w:r>
    </w:p>
    <w:p w14:paraId="0A4B8058" w14:textId="7136664B" w:rsidR="00A97DF4" w:rsidRPr="00C07753" w:rsidRDefault="00691C98" w:rsidP="0096204E">
      <w:pPr>
        <w:pStyle w:val="Heading2"/>
      </w:pPr>
      <w:r w:rsidRPr="00691C98">
        <w:rPr>
          <w:u w:val="single"/>
        </w:rPr>
        <w:t xml:space="preserve">Accès aux indicateurs de niveau I micro </w:t>
      </w:r>
      <w:r>
        <w:rPr>
          <w:u w:val="single"/>
        </w:rPr>
        <w:t xml:space="preserve">et aux </w:t>
      </w:r>
      <w:proofErr w:type="spellStart"/>
      <w:r>
        <w:rPr>
          <w:u w:val="single"/>
        </w:rPr>
        <w:t>microdonnées</w:t>
      </w:r>
      <w:proofErr w:type="spellEnd"/>
      <w:r>
        <w:rPr>
          <w:u w:val="single"/>
        </w:rPr>
        <w:t xml:space="preserve"> d’enquête sur le serveur de </w:t>
      </w:r>
      <w:r w:rsidR="0096204E" w:rsidRPr="00691C98">
        <w:rPr>
          <w:i/>
          <w:iCs/>
          <w:color w:val="BF4E14" w:themeColor="accent2" w:themeShade="BF"/>
        </w:rPr>
        <w:t>[</w:t>
      </w:r>
      <w:r>
        <w:rPr>
          <w:i/>
          <w:iCs/>
          <w:color w:val="BF4E14" w:themeColor="accent2" w:themeShade="BF"/>
        </w:rPr>
        <w:t>INS</w:t>
      </w:r>
      <w:r w:rsidR="0096204E" w:rsidRPr="00691C98">
        <w:rPr>
          <w:i/>
          <w:iCs/>
          <w:color w:val="BF4E14" w:themeColor="accent2" w:themeShade="BF"/>
        </w:rPr>
        <w:t>]</w:t>
      </w:r>
      <w:r w:rsidR="00824C06" w:rsidRPr="00691C98">
        <w:t>.</w:t>
      </w:r>
      <w:r w:rsidR="0096204E" w:rsidRPr="00691C98">
        <w:t xml:space="preserve"> </w:t>
      </w:r>
      <w:r w:rsidRPr="00691C98">
        <w:t xml:space="preserve">L’APD micro régulera l’accès au serveur de </w:t>
      </w:r>
      <w:r w:rsidRPr="00691C98">
        <w:rPr>
          <w:i/>
          <w:iCs/>
          <w:color w:val="BF4E14" w:themeColor="accent2" w:themeShade="BF"/>
        </w:rPr>
        <w:t>[INS]</w:t>
      </w:r>
      <w:r w:rsidRPr="00691C98">
        <w:t xml:space="preserve"> hébergeant les i</w:t>
      </w:r>
      <w:r>
        <w:t xml:space="preserve">ndicateurs de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w:rPr>
          <w:i/>
          <w:iCs/>
          <w:color w:val="0070C0"/>
        </w:rPr>
        <w:t>[</w:t>
      </w:r>
      <w:r w:rsidR="004E7FA7">
        <w:rPr>
          <w:i/>
          <w:iCs/>
          <w:color w:val="0070C0"/>
        </w:rPr>
        <w:t xml:space="preserve">Si la responsabilité d’héberger le serveur recevant les indicateurs est assignée à une autre entité gouvernementale (ex. : le régulateur), il faudra veiller à bien remplacer </w:t>
      </w:r>
      <w:r w:rsidR="004E7FA7" w:rsidRPr="00C07753">
        <w:rPr>
          <w:i/>
          <w:iCs/>
          <w:color w:val="0070C0"/>
        </w:rPr>
        <w:t>[</w:t>
      </w:r>
      <w:r w:rsidR="004E7FA7">
        <w:rPr>
          <w:i/>
          <w:iCs/>
          <w:color w:val="0070C0"/>
        </w:rPr>
        <w:t>INS</w:t>
      </w:r>
      <w:r w:rsidR="004E7FA7" w:rsidRPr="00C07753">
        <w:rPr>
          <w:i/>
          <w:iCs/>
          <w:color w:val="0070C0"/>
        </w:rPr>
        <w:t xml:space="preserve">] </w:t>
      </w:r>
      <w:r w:rsidR="004E7FA7">
        <w:rPr>
          <w:i/>
          <w:iCs/>
          <w:color w:val="0070C0"/>
        </w:rPr>
        <w:t>par le nom de l’entité approprié</w:t>
      </w:r>
      <w:r w:rsidR="00895EAB" w:rsidRPr="00C07753">
        <w:rPr>
          <w:i/>
          <w:iCs/>
          <w:color w:val="0070C0"/>
        </w:rPr>
        <w:t>.]</w:t>
      </w:r>
    </w:p>
    <w:p w14:paraId="02D4476E" w14:textId="25C6031B" w:rsidR="00E94DDB" w:rsidRPr="004E7FA7" w:rsidRDefault="004E7FA7" w:rsidP="0096204E">
      <w:pPr>
        <w:pStyle w:val="Heading3"/>
      </w:pPr>
      <w:r w:rsidRPr="004E7FA7">
        <w:t xml:space="preserve">L’APD micro devra explicitement faire mention de l’appariement de données OTM avec des </w:t>
      </w:r>
      <w:proofErr w:type="spellStart"/>
      <w:r w:rsidRPr="004E7FA7">
        <w:t>microdonnées</w:t>
      </w:r>
      <w:proofErr w:type="spellEnd"/>
      <w:r w:rsidRPr="004E7FA7">
        <w:t xml:space="preserve"> d’enquête dans l’utilisation prévue des données et de</w:t>
      </w:r>
      <w:r>
        <w:t xml:space="preserve">vra spécifier les </w:t>
      </w:r>
      <w:proofErr w:type="spellStart"/>
      <w:r>
        <w:t>microdonnées</w:t>
      </w:r>
      <w:proofErr w:type="spellEnd"/>
      <w:r>
        <w:t xml:space="preserve"> d’enquête requises pour l’application proposée</w:t>
      </w:r>
      <w:r w:rsidR="00FB5D8A" w:rsidRPr="004E7FA7">
        <w:t>.</w:t>
      </w:r>
    </w:p>
    <w:p w14:paraId="6403611B" w14:textId="5C6F2AEB" w:rsidR="00FB5D8A" w:rsidRPr="004E7FA7" w:rsidRDefault="004E7FA7" w:rsidP="0096204E">
      <w:pPr>
        <w:pStyle w:val="Heading3"/>
      </w:pPr>
      <w:r w:rsidRPr="004E7FA7">
        <w:t xml:space="preserve">L’APD micro devra spécifier les conditions d’accès aux indicateurs de niveau I micro et aux </w:t>
      </w:r>
      <w:proofErr w:type="spellStart"/>
      <w:r w:rsidRPr="004E7FA7">
        <w:t>microdonnées</w:t>
      </w:r>
      <w:proofErr w:type="spellEnd"/>
      <w:r w:rsidRPr="004E7FA7">
        <w:t xml:space="preserve"> d’enquête sur le serv</w:t>
      </w:r>
      <w:r>
        <w:t xml:space="preserve">eur </w:t>
      </w:r>
      <w:r w:rsidRPr="00691C98">
        <w:t xml:space="preserve">de </w:t>
      </w:r>
      <w:r w:rsidRPr="00691C98">
        <w:rPr>
          <w:i/>
          <w:iCs/>
          <w:color w:val="BF4E14" w:themeColor="accent2" w:themeShade="BF"/>
        </w:rPr>
        <w:t>[INS]</w:t>
      </w:r>
      <w:r>
        <w:t xml:space="preserve">, </w:t>
      </w:r>
      <w:r w:rsidRPr="004E7FA7">
        <w:t>en particulier les restrictions d’accès, la durée d’accès et l’utilisation prévue</w:t>
      </w:r>
      <w:r w:rsidR="00E94DDB" w:rsidRPr="004E7FA7">
        <w:t>.</w:t>
      </w:r>
    </w:p>
    <w:p w14:paraId="259AFCBF" w14:textId="74C994FF" w:rsidR="00B43F9B" w:rsidRPr="00C07753" w:rsidRDefault="00FB5D8A" w:rsidP="00FB5D8A">
      <w:pPr>
        <w:pStyle w:val="Heading3"/>
      </w:pPr>
      <w:r w:rsidRPr="004E7FA7">
        <w:rPr>
          <w:i/>
          <w:iCs/>
          <w:color w:val="BF4E14" w:themeColor="accent2" w:themeShade="BF"/>
        </w:rPr>
        <w:t>[</w:t>
      </w:r>
      <w:r w:rsidR="004E7FA7" w:rsidRPr="004E7FA7">
        <w:rPr>
          <w:i/>
          <w:iCs/>
          <w:color w:val="BF4E14" w:themeColor="accent2" w:themeShade="BF"/>
        </w:rPr>
        <w:t>INS</w:t>
      </w:r>
      <w:r w:rsidRPr="004E7FA7">
        <w:rPr>
          <w:i/>
          <w:iCs/>
          <w:color w:val="BF4E14" w:themeColor="accent2" w:themeShade="BF"/>
        </w:rPr>
        <w:t>]</w:t>
      </w:r>
      <w:r w:rsidR="004E7FA7" w:rsidRPr="004E7FA7">
        <w:t xml:space="preserve"> mettra en place des mesures </w:t>
      </w:r>
      <w:r w:rsidR="00A05C39">
        <w:t>spécifiques pour la</w:t>
      </w:r>
      <w:r w:rsidR="004E7FA7" w:rsidRPr="004E7FA7">
        <w:t xml:space="preserve"> protection des </w:t>
      </w:r>
      <w:r w:rsidR="00A05C39">
        <w:t xml:space="preserve">indicateurs de niveau I micro et des </w:t>
      </w:r>
      <w:proofErr w:type="spellStart"/>
      <w:r w:rsidR="00A05C39">
        <w:t>microdonnées</w:t>
      </w:r>
      <w:proofErr w:type="spellEnd"/>
      <w:r w:rsidR="00A05C39">
        <w:t xml:space="preserve"> d’enquête stockés sur son serveur dans le cadre d’un APD micro</w:t>
      </w:r>
      <w:r w:rsidR="007858A5" w:rsidRPr="004E7FA7">
        <w:t xml:space="preserve">. </w:t>
      </w:r>
      <w:r w:rsidR="007858A5" w:rsidRPr="00A05C39">
        <w:rPr>
          <w:i/>
          <w:iCs/>
          <w:color w:val="BF4E14" w:themeColor="accent2" w:themeShade="BF"/>
        </w:rPr>
        <w:t>[</w:t>
      </w:r>
      <w:r w:rsidR="00A05C39" w:rsidRPr="00A05C39">
        <w:rPr>
          <w:i/>
          <w:iCs/>
          <w:color w:val="BF4E14" w:themeColor="accent2" w:themeShade="BF"/>
        </w:rPr>
        <w:t>INS</w:t>
      </w:r>
      <w:r w:rsidR="007858A5" w:rsidRPr="00A05C39">
        <w:rPr>
          <w:i/>
          <w:iCs/>
          <w:color w:val="BF4E14" w:themeColor="accent2" w:themeShade="BF"/>
        </w:rPr>
        <w:t>]</w:t>
      </w:r>
      <w:r w:rsidR="007858A5" w:rsidRPr="00A05C39">
        <w:t xml:space="preserve"> </w:t>
      </w:r>
      <w:r w:rsidR="00A05C39" w:rsidRPr="00A05C39">
        <w:t>appliquera les restrictions d’accès aux donnée</w:t>
      </w:r>
      <w:r w:rsidR="00A05C39">
        <w:t xml:space="preserve">s ainsi que celles liées à leur transfert, leur téléchargement et leur modification. </w:t>
      </w:r>
      <w:r w:rsidR="00A05C39" w:rsidRPr="00A05C39">
        <w:t>En particulier, l’accès aux indicateurs de nive</w:t>
      </w:r>
      <w:r w:rsidR="00A05C39">
        <w:t xml:space="preserve">au I micro et aux </w:t>
      </w:r>
      <w:proofErr w:type="spellStart"/>
      <w:r w:rsidR="00A05C39">
        <w:t>microdonnées</w:t>
      </w:r>
      <w:proofErr w:type="spellEnd"/>
      <w:r w:rsidR="00A05C39">
        <w:t xml:space="preserve"> d’enquête sur le serveur de </w:t>
      </w:r>
      <w:r w:rsidR="00A05C39" w:rsidRPr="00691C98">
        <w:rPr>
          <w:i/>
          <w:iCs/>
          <w:color w:val="BF4E14" w:themeColor="accent2" w:themeShade="BF"/>
        </w:rPr>
        <w:t>[INS]</w:t>
      </w:r>
      <w:r w:rsidR="00A05C39" w:rsidRPr="00A05C39">
        <w:t xml:space="preserve"> </w:t>
      </w:r>
      <w:r w:rsidR="00A05C39">
        <w:t>sera strictement limité aux personnes listées dans l’APD micro concerné</w:t>
      </w:r>
      <w:r w:rsidRPr="00C07753">
        <w:t>.</w:t>
      </w:r>
    </w:p>
    <w:p w14:paraId="3CBD8B7A" w14:textId="2125CC9B" w:rsidR="00FB5D8A" w:rsidRPr="00535D79" w:rsidRDefault="00A05C39" w:rsidP="00B43F9B">
      <w:pPr>
        <w:pStyle w:val="Heading2"/>
      </w:pPr>
      <w:r w:rsidRPr="00535D79">
        <w:rPr>
          <w:u w:val="single"/>
        </w:rPr>
        <w:t>Utilisation permise des données</w:t>
      </w:r>
      <w:r w:rsidR="00B43F9B" w:rsidRPr="00535D79">
        <w:t>.</w:t>
      </w:r>
      <w:r w:rsidR="00FF1EFD" w:rsidRPr="00535D79">
        <w:t xml:space="preserve"> </w:t>
      </w:r>
      <w:r w:rsidRPr="00535D79">
        <w:t xml:space="preserve">L’objectif spécifique pour lequel les indicateurs de niveau I micro doivent être appariés avec des </w:t>
      </w:r>
      <w:proofErr w:type="spellStart"/>
      <w:r w:rsidRPr="00535D79">
        <w:t>microdonnées</w:t>
      </w:r>
      <w:proofErr w:type="spellEnd"/>
      <w:r w:rsidRPr="00535D79">
        <w:t xml:space="preserve"> d’enquête devra être clairement défini dans l’APD micro concerné.</w:t>
      </w:r>
      <w:r w:rsidR="00535D79">
        <w:t xml:space="preserve"> </w:t>
      </w:r>
    </w:p>
    <w:p w14:paraId="2FB82E27" w14:textId="50F98578" w:rsidR="00676A7C" w:rsidRPr="00535D79" w:rsidRDefault="00A05C39" w:rsidP="00676A7C">
      <w:pPr>
        <w:pStyle w:val="Heading3"/>
      </w:pPr>
      <w:r w:rsidRPr="00535D79">
        <w:lastRenderedPageBreak/>
        <w:t xml:space="preserve">Les Parties </w:t>
      </w:r>
      <w:r w:rsidR="00535D79" w:rsidRPr="00535D79">
        <w:t>mettront en place toutes les mesures nécessaires</w:t>
      </w:r>
      <w:r w:rsidRPr="00535D79">
        <w:t xml:space="preserve"> </w:t>
      </w:r>
      <w:r w:rsidR="00535D79" w:rsidRPr="00535D79">
        <w:t>au ma</w:t>
      </w:r>
      <w:r w:rsidR="00535D79">
        <w:t>intien et à l’application stricte des restrictions sur l’utilisation des données établies dans l’APD micro concerné.</w:t>
      </w:r>
    </w:p>
    <w:p w14:paraId="1D19AF5E" w14:textId="1B4033D3" w:rsidR="00676A7C" w:rsidRPr="00535D79" w:rsidRDefault="00535D79" w:rsidP="00676A7C">
      <w:pPr>
        <w:pStyle w:val="Heading3"/>
      </w:pPr>
      <w:r w:rsidRPr="00535D79">
        <w:t>Les Parties devront s’assurer que l’utilisation proposée des données décrite dans l’AP</w:t>
      </w:r>
      <w:r>
        <w:t>D micro est entièrement conforme aux lois nationales de protection des données applicables, y compris la conformité aux exigences de consentement préalable</w:t>
      </w:r>
      <w:r w:rsidR="00676A7C" w:rsidRPr="00535D79">
        <w:t>.</w:t>
      </w:r>
    </w:p>
    <w:p w14:paraId="78551BB6" w14:textId="5F80A316" w:rsidR="0003110F" w:rsidRPr="00C07753" w:rsidRDefault="003C422B" w:rsidP="0003110F">
      <w:pPr>
        <w:pStyle w:val="Heading1"/>
      </w:pPr>
      <w:r>
        <w:t>R</w:t>
      </w:r>
      <w:r w:rsidR="00535D79">
        <w:t>echerche conjointe et échanges de connaissances</w:t>
      </w:r>
    </w:p>
    <w:p w14:paraId="11AFA37C" w14:textId="65554307" w:rsidR="0003110F" w:rsidRPr="00C07753" w:rsidRDefault="0003110F" w:rsidP="0003110F">
      <w:pPr>
        <w:pStyle w:val="Heading2"/>
        <w:numPr>
          <w:ilvl w:val="0"/>
          <w:numId w:val="0"/>
        </w:numPr>
        <w:ind w:left="576"/>
      </w:pPr>
      <w:r w:rsidRPr="00535D79">
        <w:rPr>
          <w:i/>
          <w:iCs/>
          <w:color w:val="0070C0"/>
        </w:rPr>
        <w:t>[</w:t>
      </w:r>
      <w:r w:rsidR="00535D79" w:rsidRPr="00535D79">
        <w:rPr>
          <w:i/>
          <w:iCs/>
          <w:color w:val="0070C0"/>
        </w:rPr>
        <w:t xml:space="preserve">Cette clause pose les bases d’une collaboration entre OTM, INS et le cas échéant des partenaires techniques externes, centrée sur la recherche et le partage de </w:t>
      </w:r>
      <w:r w:rsidR="00535D79">
        <w:rPr>
          <w:i/>
          <w:iCs/>
          <w:color w:val="0070C0"/>
        </w:rPr>
        <w:t xml:space="preserve">connaissances liées aux données OTM et qui devra être formalisée par un accord distinct. </w:t>
      </w:r>
      <w:r w:rsidR="00535D79" w:rsidRPr="00535D79">
        <w:rPr>
          <w:i/>
          <w:iCs/>
          <w:color w:val="0070C0"/>
        </w:rPr>
        <w:t>Ceci est optionnel mais fortement encouragé afin de promouvoir le renforcement de capacité pour les entités gouvernementales concernées mais aussi les OTM</w:t>
      </w:r>
      <w:r w:rsidR="00535D79">
        <w:rPr>
          <w:i/>
          <w:iCs/>
          <w:color w:val="0070C0"/>
        </w:rPr>
        <w:t>, tout en renforçant la transparence</w:t>
      </w:r>
      <w:r w:rsidR="003C422B">
        <w:rPr>
          <w:i/>
          <w:iCs/>
          <w:color w:val="0070C0"/>
        </w:rPr>
        <w:t xml:space="preserve"> et en contribuant au cadre d’assurance qualité dans son ensemble</w:t>
      </w:r>
      <w:r w:rsidRPr="00C07753">
        <w:rPr>
          <w:i/>
          <w:iCs/>
          <w:color w:val="0070C0"/>
        </w:rPr>
        <w:t>.]</w:t>
      </w:r>
    </w:p>
    <w:p w14:paraId="0A77BEFC" w14:textId="6C5E6326" w:rsidR="00211B7B" w:rsidRPr="00C07753" w:rsidRDefault="00211B7B" w:rsidP="00211B7B">
      <w:pPr>
        <w:pStyle w:val="Heading2"/>
      </w:pPr>
      <w:r w:rsidRPr="003C422B">
        <w:rPr>
          <w:i/>
          <w:iCs/>
          <w:color w:val="BF4E14" w:themeColor="accent2" w:themeShade="BF"/>
        </w:rPr>
        <w:t>[</w:t>
      </w:r>
      <w:r w:rsidR="003C422B" w:rsidRPr="003C422B">
        <w:rPr>
          <w:i/>
          <w:iCs/>
          <w:color w:val="BF4E14" w:themeColor="accent2" w:themeShade="BF"/>
        </w:rPr>
        <w:t>OTM</w:t>
      </w:r>
      <w:r w:rsidRPr="003C422B">
        <w:rPr>
          <w:i/>
          <w:iCs/>
          <w:color w:val="BF4E14" w:themeColor="accent2" w:themeShade="BF"/>
        </w:rPr>
        <w:t xml:space="preserve"> 1 </w:t>
      </w:r>
      <w:r w:rsidR="003C422B" w:rsidRPr="003C422B">
        <w:rPr>
          <w:i/>
          <w:iCs/>
          <w:color w:val="BF4E14" w:themeColor="accent2" w:themeShade="BF"/>
        </w:rPr>
        <w:t xml:space="preserve">ou </w:t>
      </w:r>
      <w:proofErr w:type="spellStart"/>
      <w:r w:rsidR="003C422B" w:rsidRPr="003C422B">
        <w:rPr>
          <w:i/>
          <w:iCs/>
          <w:color w:val="BF4E14" w:themeColor="accent2" w:themeShade="BF"/>
        </w:rPr>
        <w:t>OTMs</w:t>
      </w:r>
      <w:proofErr w:type="spellEnd"/>
      <w:r w:rsidRPr="003C422B">
        <w:rPr>
          <w:i/>
          <w:iCs/>
          <w:color w:val="BF4E14" w:themeColor="accent2" w:themeShade="BF"/>
        </w:rPr>
        <w:t>]</w:t>
      </w:r>
      <w:r w:rsidRPr="003C422B">
        <w:t xml:space="preserve"> </w:t>
      </w:r>
      <w:r w:rsidR="003C422B" w:rsidRPr="003C422B">
        <w:t>et</w:t>
      </w:r>
      <w:r w:rsidRPr="003C422B">
        <w:t xml:space="preserve"> </w:t>
      </w:r>
      <w:r w:rsidRPr="003C422B">
        <w:rPr>
          <w:i/>
          <w:iCs/>
          <w:color w:val="BF4E14" w:themeColor="accent2" w:themeShade="BF"/>
        </w:rPr>
        <w:t>[</w:t>
      </w:r>
      <w:r w:rsidR="003C422B" w:rsidRPr="003C422B">
        <w:rPr>
          <w:i/>
          <w:iCs/>
          <w:color w:val="BF4E14" w:themeColor="accent2" w:themeShade="BF"/>
        </w:rPr>
        <w:t>INS</w:t>
      </w:r>
      <w:r w:rsidRPr="003C422B">
        <w:rPr>
          <w:i/>
          <w:iCs/>
          <w:color w:val="BF4E14" w:themeColor="accent2" w:themeShade="BF"/>
        </w:rPr>
        <w:t>]</w:t>
      </w:r>
      <w:r w:rsidRPr="003C422B">
        <w:t xml:space="preserve"> </w:t>
      </w:r>
      <w:r w:rsidR="003C422B" w:rsidRPr="003C422B">
        <w:t>conviennent de collaborer à l’amélio</w:t>
      </w:r>
      <w:r w:rsidR="003C422B">
        <w:t xml:space="preserve">ration et au développement de méthodologies permettant de produire des indicateurs pertinents et fiables à partir des données OTM. </w:t>
      </w:r>
      <w:r w:rsidR="00334CDB" w:rsidRPr="00334CDB">
        <w:t>Cette collaboration sera focalisée sur la concepti</w:t>
      </w:r>
      <w:r w:rsidR="00334CDB">
        <w:t xml:space="preserve">on de méthodes de traitement de données robustes et les échanges de connaissances dans ce domaine. </w:t>
      </w:r>
      <w:r w:rsidR="00334CDB" w:rsidRPr="00334CDB">
        <w:t>Les Parties conviennent de la possibilité d</w:t>
      </w:r>
      <w:r w:rsidR="00334CDB">
        <w:t xml:space="preserve">’impliquer un partenaire technique externe pour appuyer ces efforts conjoints. </w:t>
      </w:r>
      <w:r w:rsidR="00334CDB" w:rsidRPr="00334CDB">
        <w:t>Les modalités détaillées de cette col</w:t>
      </w:r>
      <w:r w:rsidR="00334CDB">
        <w:t>laboration seront formalisées dans un protocole d’accord distinct</w:t>
      </w:r>
      <w:r w:rsidR="006E634B" w:rsidRPr="00C07753">
        <w:t>.</w:t>
      </w:r>
    </w:p>
    <w:p w14:paraId="013A40F0" w14:textId="11F0133D" w:rsidR="003151A0" w:rsidRPr="00C07753" w:rsidRDefault="00334CDB" w:rsidP="003151A0">
      <w:pPr>
        <w:pStyle w:val="Heading1"/>
      </w:pPr>
      <w:r>
        <w:t>Garanties de protection des données et de la vie privée</w:t>
      </w:r>
    </w:p>
    <w:p w14:paraId="688D7DA1" w14:textId="655ABDD6" w:rsidR="00B27A84" w:rsidRPr="00C07753" w:rsidRDefault="00334CDB" w:rsidP="00B27A84">
      <w:pPr>
        <w:pStyle w:val="Heading2"/>
      </w:pPr>
      <w:bookmarkStart w:id="13" w:name="_Hlk197540294"/>
      <w:r>
        <w:t xml:space="preserve">Les Parties définiront conjointement des méthodes de Contrôle de Divulgation Statistique (CDS) à appliquer (ex. : k-anonymisation) pour garantir l’anonymisation de toute information personnelle dans les indicateurs destinés à être publiés, réduire le risque de divulgation indésirable d’information </w:t>
      </w:r>
      <w:r w:rsidR="00C23451">
        <w:t xml:space="preserve">sur les unités statistiques </w:t>
      </w:r>
      <w:r>
        <w:t>et empêcher toute possibilité de réidentification</w:t>
      </w:r>
      <w:r w:rsidR="00B27A84" w:rsidRPr="00C07753">
        <w:t>.</w:t>
      </w:r>
    </w:p>
    <w:bookmarkEnd w:id="13"/>
    <w:p w14:paraId="3138CB39" w14:textId="36A93633" w:rsidR="00410E46" w:rsidRPr="00104CFC" w:rsidRDefault="00B27A84" w:rsidP="00B27A84">
      <w:pPr>
        <w:pStyle w:val="Heading2"/>
      </w:pPr>
      <w:r w:rsidRPr="00C23451">
        <w:rPr>
          <w:i/>
          <w:iCs/>
          <w:color w:val="BF4E14" w:themeColor="accent2" w:themeShade="BF"/>
        </w:rPr>
        <w:t>[</w:t>
      </w:r>
      <w:r w:rsidR="00C23451" w:rsidRPr="00C23451">
        <w:rPr>
          <w:i/>
          <w:iCs/>
          <w:color w:val="BF4E14" w:themeColor="accent2" w:themeShade="BF"/>
        </w:rPr>
        <w:t>OTM</w:t>
      </w:r>
      <w:r w:rsidRPr="00C23451">
        <w:rPr>
          <w:i/>
          <w:iCs/>
          <w:color w:val="BF4E14" w:themeColor="accent2" w:themeShade="BF"/>
        </w:rPr>
        <w:t xml:space="preserve"> 1 o</w:t>
      </w:r>
      <w:r w:rsidR="00C23451" w:rsidRPr="00C23451">
        <w:rPr>
          <w:i/>
          <w:iCs/>
          <w:color w:val="BF4E14" w:themeColor="accent2" w:themeShade="BF"/>
        </w:rPr>
        <w:t>u</w:t>
      </w:r>
      <w:r w:rsidRPr="00C23451">
        <w:rPr>
          <w:i/>
          <w:iCs/>
          <w:color w:val="BF4E14" w:themeColor="accent2" w:themeShade="BF"/>
        </w:rPr>
        <w:t xml:space="preserve"> </w:t>
      </w:r>
      <w:proofErr w:type="spellStart"/>
      <w:r w:rsidR="00C23451" w:rsidRPr="00C23451">
        <w:rPr>
          <w:i/>
          <w:iCs/>
          <w:color w:val="BF4E14" w:themeColor="accent2" w:themeShade="BF"/>
        </w:rPr>
        <w:t>OTM</w:t>
      </w:r>
      <w:r w:rsidRPr="00C23451">
        <w:rPr>
          <w:i/>
          <w:iCs/>
          <w:color w:val="BF4E14" w:themeColor="accent2" w:themeShade="BF"/>
        </w:rPr>
        <w:t>s</w:t>
      </w:r>
      <w:proofErr w:type="spellEnd"/>
      <w:r w:rsidRPr="00C23451">
        <w:rPr>
          <w:i/>
          <w:iCs/>
          <w:color w:val="BF4E14" w:themeColor="accent2" w:themeShade="BF"/>
        </w:rPr>
        <w:t>]</w:t>
      </w:r>
      <w:r w:rsidRPr="00C23451">
        <w:t xml:space="preserve"> </w:t>
      </w:r>
      <w:r w:rsidR="00C23451" w:rsidRPr="00C23451">
        <w:t xml:space="preserve">appliquera une procédure de </w:t>
      </w:r>
      <w:proofErr w:type="spellStart"/>
      <w:r w:rsidR="00C23451" w:rsidRPr="00C23451">
        <w:t>pseudonymisation</w:t>
      </w:r>
      <w:proofErr w:type="spellEnd"/>
      <w:r w:rsidR="00C23451" w:rsidRPr="00C23451">
        <w:t xml:space="preserve"> avancée permettant de garantir le respect de la vie pr</w:t>
      </w:r>
      <w:r w:rsidR="00C23451">
        <w:t xml:space="preserve">ivée et la sécurité des données de niveau I nano pour lesquelles un accès sera permis dans le cadre du présent Accord. </w:t>
      </w:r>
      <w:r w:rsidR="00C23451" w:rsidRPr="00477607">
        <w:t xml:space="preserve">Cette procédure sera conforme aux meilleures pratiques internationales </w:t>
      </w:r>
      <w:r w:rsidR="00477607" w:rsidRPr="00477607">
        <w:t>et aux exigences réglement</w:t>
      </w:r>
      <w:r w:rsidR="00477607">
        <w:t>aires en matière de protection des données</w:t>
      </w:r>
      <w:r w:rsidRPr="00C07753">
        <w:t xml:space="preserve">. </w:t>
      </w:r>
      <w:r w:rsidR="00B13B9E" w:rsidRPr="00104CFC">
        <w:rPr>
          <w:i/>
          <w:iCs/>
          <w:color w:val="BF4E14" w:themeColor="accent2" w:themeShade="BF"/>
        </w:rPr>
        <w:t>[</w:t>
      </w:r>
      <w:r w:rsidR="00477607" w:rsidRPr="00104CFC">
        <w:rPr>
          <w:i/>
          <w:iCs/>
          <w:color w:val="BF4E14" w:themeColor="accent2" w:themeShade="BF"/>
        </w:rPr>
        <w:t xml:space="preserve">OTM 1 ou </w:t>
      </w:r>
      <w:proofErr w:type="spellStart"/>
      <w:r w:rsidR="00477607" w:rsidRPr="00104CFC">
        <w:rPr>
          <w:i/>
          <w:iCs/>
          <w:color w:val="BF4E14" w:themeColor="accent2" w:themeShade="BF"/>
        </w:rPr>
        <w:t>OTM</w:t>
      </w:r>
      <w:r w:rsidR="00B13B9E" w:rsidRPr="00104CFC">
        <w:rPr>
          <w:i/>
          <w:iCs/>
          <w:color w:val="BF4E14" w:themeColor="accent2" w:themeShade="BF"/>
        </w:rPr>
        <w:t>s</w:t>
      </w:r>
      <w:proofErr w:type="spellEnd"/>
      <w:r w:rsidR="00B13B9E" w:rsidRPr="00104CFC">
        <w:rPr>
          <w:i/>
          <w:iCs/>
          <w:color w:val="BF4E14" w:themeColor="accent2" w:themeShade="BF"/>
        </w:rPr>
        <w:t xml:space="preserve">] </w:t>
      </w:r>
      <w:r w:rsidR="00104CFC" w:rsidRPr="00104CFC">
        <w:t xml:space="preserve">mettra régulièrement à jour cette procédure en réponse aux avancées technologiques et à </w:t>
      </w:r>
      <w:r w:rsidR="00104CFC">
        <w:t>l’évolution des risques afin de maintenir un haut niveau de protection des données et de la vie privée</w:t>
      </w:r>
      <w:r w:rsidR="002A44D3" w:rsidRPr="00104CFC">
        <w:t>.</w:t>
      </w:r>
    </w:p>
    <w:p w14:paraId="3BD045D5" w14:textId="43D9D597" w:rsidR="00B27A84" w:rsidRPr="009E3480" w:rsidRDefault="00104CFC" w:rsidP="00B27A84">
      <w:pPr>
        <w:pStyle w:val="Heading2"/>
      </w:pPr>
      <w:bookmarkStart w:id="14" w:name="_Hlk197540396"/>
      <w:r w:rsidRPr="009E3480">
        <w:t xml:space="preserve">Les Parties adhéreront au principe de minimisation des données afin de garantir que seules les données nécessaires </w:t>
      </w:r>
      <w:r w:rsidR="009E3480" w:rsidRPr="009E3480">
        <w:t>aux objectifs prévus au sein de cet Accord ou d’un</w:t>
      </w:r>
      <w:r w:rsidR="009E3480">
        <w:t xml:space="preserve"> futur</w:t>
      </w:r>
      <w:r w:rsidR="009E3480" w:rsidRPr="009E3480">
        <w:t xml:space="preserve"> accord de pa</w:t>
      </w:r>
      <w:r w:rsidR="009E3480">
        <w:t>rtage de données selon les dispositions prévues par cet Accord seront mises à disposition et traitées.</w:t>
      </w:r>
    </w:p>
    <w:p w14:paraId="5226E63B" w14:textId="3769AEAA" w:rsidR="00FD42A5" w:rsidRPr="00F83104" w:rsidRDefault="009E3480" w:rsidP="003151A0">
      <w:pPr>
        <w:pStyle w:val="Heading2"/>
      </w:pPr>
      <w:r w:rsidRPr="009E3480">
        <w:lastRenderedPageBreak/>
        <w:t xml:space="preserve">Les Parties adhéreront strictement aux protocoles relatifs au partage de données, à l’accès aux données, au traitement des données et à la dissémination des résultats et tels qu’établis par les </w:t>
      </w:r>
      <w:r w:rsidR="00FD42A5" w:rsidRPr="009E3480">
        <w:t>clauses</w:t>
      </w:r>
      <w:r w:rsidR="002A44D3" w:rsidRPr="009E3480">
        <w:t xml:space="preserve"> </w:t>
      </w:r>
      <w:r w:rsidR="002A44D3" w:rsidRPr="00C07753">
        <w:fldChar w:fldCharType="begin"/>
      </w:r>
      <w:r w:rsidR="002A44D3" w:rsidRPr="009E3480">
        <w:instrText xml:space="preserve"> REF _Ref200106106 \r \h </w:instrText>
      </w:r>
      <w:r w:rsidR="002A44D3" w:rsidRPr="00C07753">
        <w:fldChar w:fldCharType="separate"/>
      </w:r>
      <w:r w:rsidR="00895EAB" w:rsidRPr="009E3480">
        <w:t>8</w:t>
      </w:r>
      <w:r w:rsidR="002A44D3" w:rsidRPr="00C07753">
        <w:fldChar w:fldCharType="end"/>
      </w:r>
      <w:r w:rsidR="002A44D3" w:rsidRPr="009E3480">
        <w:t xml:space="preserve"> </w:t>
      </w:r>
      <w:r>
        <w:t>à</w:t>
      </w:r>
      <w:r w:rsidR="002A44D3" w:rsidRPr="009E3480">
        <w:t xml:space="preserve"> </w:t>
      </w:r>
      <w:r w:rsidR="002A44D3" w:rsidRPr="00C07753">
        <w:fldChar w:fldCharType="begin"/>
      </w:r>
      <w:r w:rsidR="002A44D3" w:rsidRPr="009E3480">
        <w:instrText xml:space="preserve"> REF _Ref200106115 \r \h </w:instrText>
      </w:r>
      <w:r w:rsidR="002A44D3" w:rsidRPr="00C07753">
        <w:fldChar w:fldCharType="separate"/>
      </w:r>
      <w:r w:rsidR="002A44D3" w:rsidRPr="009E3480">
        <w:t>13</w:t>
      </w:r>
      <w:r w:rsidR="002A44D3" w:rsidRPr="00C07753">
        <w:fldChar w:fldCharType="end"/>
      </w:r>
      <w:r>
        <w:t xml:space="preserve"> du présent Accord, et ce afin de garantir la transparence et la responsabilité des Parties relatives aux lieux de stockage des données OTM à chaque étape du processus de traitement des données, </w:t>
      </w:r>
      <w:r w:rsidR="00F83104">
        <w:t xml:space="preserve">aux personnes autorisées à accéder aux données et aux utilisations prévues des données. </w:t>
      </w:r>
      <w:r w:rsidR="00F83104" w:rsidRPr="00F83104">
        <w:t>Les Parties reconnaissent la contribution du respect de ces protocoles à la minimisation du risque de violation ou d’utilisation abusive des données OTM</w:t>
      </w:r>
      <w:r w:rsidR="00F83104">
        <w:t>.</w:t>
      </w:r>
    </w:p>
    <w:bookmarkEnd w:id="14"/>
    <w:p w14:paraId="18288E5A" w14:textId="24B0F348" w:rsidR="00F97860" w:rsidRPr="00C07753" w:rsidRDefault="00F97860" w:rsidP="00F97860">
      <w:pPr>
        <w:pStyle w:val="Heading2"/>
      </w:pPr>
      <w:r w:rsidRPr="00A21FAA">
        <w:rPr>
          <w:i/>
          <w:iCs/>
          <w:color w:val="BF4E14" w:themeColor="accent2" w:themeShade="BF"/>
        </w:rPr>
        <w:t>[</w:t>
      </w:r>
      <w:r w:rsidR="00F83104" w:rsidRPr="00A21FAA">
        <w:rPr>
          <w:i/>
          <w:iCs/>
          <w:color w:val="BF4E14" w:themeColor="accent2" w:themeShade="BF"/>
        </w:rPr>
        <w:t>INS</w:t>
      </w:r>
      <w:r w:rsidRPr="00A21FAA">
        <w:rPr>
          <w:i/>
          <w:iCs/>
          <w:color w:val="BF4E14" w:themeColor="accent2" w:themeShade="BF"/>
        </w:rPr>
        <w:t xml:space="preserve">] </w:t>
      </w:r>
      <w:r w:rsidR="00816DD1" w:rsidRPr="00A21FAA">
        <w:t xml:space="preserve">mettra en </w:t>
      </w:r>
      <w:r w:rsidR="00A21FAA" w:rsidRPr="00A21FAA">
        <w:t>œuvre</w:t>
      </w:r>
      <w:r w:rsidR="00816DD1" w:rsidRPr="00A21FAA">
        <w:t xml:space="preserve"> des </w:t>
      </w:r>
      <w:r w:rsidR="00A21FAA" w:rsidRPr="00A21FAA">
        <w:t>mesures de cryptage appropriées pour garantir la s</w:t>
      </w:r>
      <w:r w:rsidR="00A21FAA">
        <w:t xml:space="preserve">écurité des données lors du transfert d’indicateurs depuis le serveur de </w:t>
      </w:r>
      <w:r w:rsidRPr="00A21FAA">
        <w:rPr>
          <w:i/>
          <w:iCs/>
          <w:color w:val="BF4E14" w:themeColor="accent2" w:themeShade="BF"/>
        </w:rPr>
        <w:t>[</w:t>
      </w:r>
      <w:r w:rsidR="00A21FAA">
        <w:rPr>
          <w:i/>
          <w:iCs/>
          <w:color w:val="BF4E14" w:themeColor="accent2" w:themeShade="BF"/>
        </w:rPr>
        <w:t>OTM</w:t>
      </w:r>
      <w:r w:rsidRPr="00A21FAA">
        <w:rPr>
          <w:i/>
          <w:iCs/>
          <w:color w:val="BF4E14" w:themeColor="accent2" w:themeShade="BF"/>
        </w:rPr>
        <w:t xml:space="preserve"> 1 or </w:t>
      </w:r>
      <w:proofErr w:type="spellStart"/>
      <w:r w:rsidR="00A21FAA">
        <w:rPr>
          <w:i/>
          <w:iCs/>
          <w:color w:val="BF4E14" w:themeColor="accent2" w:themeShade="BF"/>
        </w:rPr>
        <w:t>OTM</w:t>
      </w:r>
      <w:r w:rsidRPr="00A21FAA">
        <w:rPr>
          <w:i/>
          <w:iCs/>
          <w:color w:val="BF4E14" w:themeColor="accent2" w:themeShade="BF"/>
        </w:rPr>
        <w:t>s</w:t>
      </w:r>
      <w:proofErr w:type="spellEnd"/>
      <w:r w:rsidRPr="00A21FAA">
        <w:rPr>
          <w:i/>
          <w:iCs/>
          <w:color w:val="BF4E14" w:themeColor="accent2" w:themeShade="BF"/>
        </w:rPr>
        <w:t>]</w:t>
      </w:r>
      <w:r w:rsidRPr="00A21FAA">
        <w:t xml:space="preserve"> </w:t>
      </w:r>
      <w:r w:rsidR="00A21FAA">
        <w:t>vers le serveur de</w:t>
      </w:r>
      <w:r w:rsidRPr="00A21FAA">
        <w:t xml:space="preserve"> </w:t>
      </w:r>
      <w:r w:rsidRPr="00A21FAA">
        <w:rPr>
          <w:i/>
          <w:iCs/>
          <w:color w:val="BF4E14" w:themeColor="accent2" w:themeShade="BF"/>
        </w:rPr>
        <w:t>[</w:t>
      </w:r>
      <w:r w:rsidR="00A21FAA">
        <w:rPr>
          <w:i/>
          <w:iCs/>
          <w:color w:val="BF4E14" w:themeColor="accent2" w:themeShade="BF"/>
        </w:rPr>
        <w:t>INS</w:t>
      </w:r>
      <w:r w:rsidRPr="00A21FAA">
        <w:rPr>
          <w:i/>
          <w:iCs/>
          <w:color w:val="BF4E14" w:themeColor="accent2" w:themeShade="BF"/>
        </w:rPr>
        <w:t>]</w:t>
      </w:r>
      <w:r w:rsidRPr="00A21FAA">
        <w:t>.</w:t>
      </w:r>
      <w:r w:rsidR="00E85A65" w:rsidRPr="00A21FAA">
        <w:t xml:space="preserve"> </w:t>
      </w:r>
      <w:r w:rsidR="00E85A65" w:rsidRPr="00C07753">
        <w:rPr>
          <w:i/>
          <w:iCs/>
          <w:color w:val="0070C0"/>
        </w:rPr>
        <w:t>[</w:t>
      </w:r>
      <w:r w:rsidR="00A21FAA">
        <w:rPr>
          <w:i/>
          <w:iCs/>
          <w:color w:val="0070C0"/>
        </w:rPr>
        <w:t xml:space="preserve">Si la responsabilité d’héberger le serveur recevant les indicateurs est assignée à une autre entité gouvernementale (ex. : le régulateur), il faudra veiller à bien remplacer </w:t>
      </w:r>
      <w:r w:rsidR="00A21FAA" w:rsidRPr="00C07753">
        <w:rPr>
          <w:i/>
          <w:iCs/>
          <w:color w:val="0070C0"/>
        </w:rPr>
        <w:t>[</w:t>
      </w:r>
      <w:r w:rsidR="00A21FAA">
        <w:rPr>
          <w:i/>
          <w:iCs/>
          <w:color w:val="0070C0"/>
        </w:rPr>
        <w:t>INS</w:t>
      </w:r>
      <w:r w:rsidR="00A21FAA" w:rsidRPr="00C07753">
        <w:rPr>
          <w:i/>
          <w:iCs/>
          <w:color w:val="0070C0"/>
        </w:rPr>
        <w:t xml:space="preserve">] </w:t>
      </w:r>
      <w:r w:rsidR="00A21FAA">
        <w:rPr>
          <w:i/>
          <w:iCs/>
          <w:color w:val="0070C0"/>
        </w:rPr>
        <w:t>par le nom de l’entité approprié</w:t>
      </w:r>
      <w:r w:rsidR="00A21FAA" w:rsidRPr="00C07753">
        <w:rPr>
          <w:i/>
          <w:iCs/>
          <w:color w:val="0070C0"/>
        </w:rPr>
        <w:t>.</w:t>
      </w:r>
      <w:r w:rsidR="00E85A65" w:rsidRPr="00C07753">
        <w:rPr>
          <w:i/>
          <w:iCs/>
          <w:color w:val="0070C0"/>
        </w:rPr>
        <w:t>]</w:t>
      </w:r>
    </w:p>
    <w:p w14:paraId="32D9DBD4" w14:textId="0388B8F4" w:rsidR="003151A0" w:rsidRPr="00C07753" w:rsidRDefault="003151A0" w:rsidP="003151A0">
      <w:pPr>
        <w:pStyle w:val="Heading2"/>
      </w:pPr>
      <w:r w:rsidRPr="00A21FAA">
        <w:rPr>
          <w:i/>
          <w:iCs/>
          <w:color w:val="BF4E14" w:themeColor="accent2" w:themeShade="BF"/>
        </w:rPr>
        <w:t>[</w:t>
      </w:r>
      <w:r w:rsidR="00A21FAA" w:rsidRPr="00A21FAA">
        <w:rPr>
          <w:i/>
          <w:iCs/>
          <w:color w:val="BF4E14" w:themeColor="accent2" w:themeShade="BF"/>
        </w:rPr>
        <w:t>INS</w:t>
      </w:r>
      <w:r w:rsidRPr="00A21FAA">
        <w:rPr>
          <w:i/>
          <w:iCs/>
          <w:color w:val="BF4E14" w:themeColor="accent2" w:themeShade="BF"/>
        </w:rPr>
        <w:t xml:space="preserve">] </w:t>
      </w:r>
      <w:proofErr w:type="spellStart"/>
      <w:r w:rsidRPr="00A21FAA">
        <w:t>shall</w:t>
      </w:r>
      <w:proofErr w:type="spellEnd"/>
      <w:r w:rsidR="00A21FAA" w:rsidRPr="00A21FAA">
        <w:t xml:space="preserve"> prendra toutes les mesures nécessaires pour minimiser le risque de violation des données sur son serveur, se</w:t>
      </w:r>
      <w:r w:rsidR="00A21FAA">
        <w:t>lon les exigences minimales définies en Annexe 3 du présent Accord</w:t>
      </w:r>
      <w:r w:rsidRPr="00A21FAA">
        <w:t>.</w:t>
      </w:r>
      <w:r w:rsidR="00E85A65" w:rsidRPr="00A21FAA">
        <w:t xml:space="preserve"> </w:t>
      </w:r>
      <w:r w:rsidR="00E85A65" w:rsidRPr="00C07753">
        <w:rPr>
          <w:i/>
          <w:iCs/>
          <w:color w:val="0070C0"/>
        </w:rPr>
        <w:t>[</w:t>
      </w:r>
      <w:r w:rsidR="00A21FAA">
        <w:rPr>
          <w:i/>
          <w:iCs/>
          <w:color w:val="0070C0"/>
        </w:rPr>
        <w:t xml:space="preserve">Si la responsabilité d’héberger le serveur recevant les indicateurs est assignée à une autre entité gouvernementale (ex. : le régulateur), il faudra veiller à bien remplacer </w:t>
      </w:r>
      <w:r w:rsidR="00A21FAA" w:rsidRPr="00C07753">
        <w:rPr>
          <w:i/>
          <w:iCs/>
          <w:color w:val="0070C0"/>
        </w:rPr>
        <w:t>[</w:t>
      </w:r>
      <w:r w:rsidR="00A21FAA">
        <w:rPr>
          <w:i/>
          <w:iCs/>
          <w:color w:val="0070C0"/>
        </w:rPr>
        <w:t>INS</w:t>
      </w:r>
      <w:r w:rsidR="00A21FAA" w:rsidRPr="00C07753">
        <w:rPr>
          <w:i/>
          <w:iCs/>
          <w:color w:val="0070C0"/>
        </w:rPr>
        <w:t xml:space="preserve">] </w:t>
      </w:r>
      <w:r w:rsidR="00A21FAA">
        <w:rPr>
          <w:i/>
          <w:iCs/>
          <w:color w:val="0070C0"/>
        </w:rPr>
        <w:t>par le nom de l’entité approprié</w:t>
      </w:r>
      <w:r w:rsidR="00E85A65" w:rsidRPr="00C07753">
        <w:rPr>
          <w:i/>
          <w:iCs/>
          <w:color w:val="0070C0"/>
        </w:rPr>
        <w:t>.]</w:t>
      </w:r>
    </w:p>
    <w:p w14:paraId="6F528F99" w14:textId="172E093E" w:rsidR="00CB5DD2" w:rsidRPr="00C07753" w:rsidRDefault="00BF58B5" w:rsidP="00CB5DD2">
      <w:pPr>
        <w:pStyle w:val="Heading1"/>
      </w:pPr>
      <w:r>
        <w:t>Droits de propriété intellectuelle</w:t>
      </w:r>
      <w:r>
        <w:tab/>
      </w:r>
    </w:p>
    <w:p w14:paraId="1008A0FE" w14:textId="77777777" w:rsidR="00BF58B5" w:rsidRPr="00636EA3" w:rsidRDefault="00BF58B5" w:rsidP="00BF58B5">
      <w:pPr>
        <w:pStyle w:val="Heading2"/>
      </w:pPr>
      <w:r w:rsidRPr="00636EA3">
        <w:t>Les droits de propriété intellectuelle relatifs aux données, modèles, algorithmes ou autres outils techniques développés dans le cadre de cette collaboration seront régis par les principes suivants</w:t>
      </w:r>
      <w:r>
        <w:t> :</w:t>
      </w:r>
    </w:p>
    <w:p w14:paraId="3614DD75" w14:textId="77777777" w:rsidR="00BF58B5" w:rsidRPr="00636EA3" w:rsidRDefault="00BF58B5" w:rsidP="00BF58B5">
      <w:pPr>
        <w:pStyle w:val="Heading3"/>
      </w:pPr>
      <w:r w:rsidRPr="00636EA3">
        <w:t xml:space="preserve">Les données fournies par </w:t>
      </w:r>
      <w:r w:rsidRPr="00B4366D">
        <w:rPr>
          <w:i/>
          <w:iCs/>
          <w:color w:val="BF4E14" w:themeColor="accent2" w:themeShade="BF"/>
        </w:rPr>
        <w:t xml:space="preserve">[OMT 1 ou </w:t>
      </w:r>
      <w:r>
        <w:rPr>
          <w:i/>
          <w:iCs/>
          <w:color w:val="BF4E14" w:themeColor="accent2" w:themeShade="BF"/>
        </w:rPr>
        <w:t>l</w:t>
      </w:r>
      <w:r w:rsidRPr="00B4366D">
        <w:rPr>
          <w:i/>
          <w:iCs/>
          <w:color w:val="BF4E14" w:themeColor="accent2" w:themeShade="BF"/>
        </w:rPr>
        <w:t xml:space="preserve">es </w:t>
      </w:r>
      <w:proofErr w:type="spellStart"/>
      <w:r w:rsidRPr="00B4366D">
        <w:rPr>
          <w:i/>
          <w:iCs/>
          <w:color w:val="BF4E14" w:themeColor="accent2" w:themeShade="BF"/>
        </w:rPr>
        <w:t>OMTs</w:t>
      </w:r>
      <w:proofErr w:type="spellEnd"/>
      <w:r w:rsidRPr="00B4366D">
        <w:rPr>
          <w:i/>
          <w:iCs/>
          <w:color w:val="BF4E14" w:themeColor="accent2" w:themeShade="BF"/>
        </w:rPr>
        <w:t>]</w:t>
      </w:r>
      <w:r>
        <w:t xml:space="preserve"> </w:t>
      </w:r>
      <w:r w:rsidRPr="00636EA3">
        <w:t xml:space="preserve">resteront la propriété intellectuelle de </w:t>
      </w:r>
      <w:r w:rsidRPr="00B4366D">
        <w:rPr>
          <w:i/>
          <w:iCs/>
          <w:color w:val="BF4E14" w:themeColor="accent2" w:themeShade="BF"/>
        </w:rPr>
        <w:t xml:space="preserve">[OMT 1 ou </w:t>
      </w:r>
      <w:r>
        <w:rPr>
          <w:i/>
          <w:iCs/>
          <w:color w:val="BF4E14" w:themeColor="accent2" w:themeShade="BF"/>
        </w:rPr>
        <w:t>d</w:t>
      </w:r>
      <w:r w:rsidRPr="00B4366D">
        <w:rPr>
          <w:i/>
          <w:iCs/>
          <w:color w:val="BF4E14" w:themeColor="accent2" w:themeShade="BF"/>
        </w:rPr>
        <w:t xml:space="preserve">es </w:t>
      </w:r>
      <w:proofErr w:type="spellStart"/>
      <w:r w:rsidRPr="00B4366D">
        <w:rPr>
          <w:i/>
          <w:iCs/>
          <w:color w:val="BF4E14" w:themeColor="accent2" w:themeShade="BF"/>
        </w:rPr>
        <w:t>OMTs</w:t>
      </w:r>
      <w:proofErr w:type="spellEnd"/>
      <w:r w:rsidRPr="00B4366D">
        <w:rPr>
          <w:i/>
          <w:iCs/>
          <w:color w:val="BF4E14" w:themeColor="accent2" w:themeShade="BF"/>
        </w:rPr>
        <w:t>]</w:t>
      </w:r>
      <w:r w:rsidRPr="00636EA3">
        <w:t>.</w:t>
      </w:r>
      <w:r w:rsidRPr="00636EA3">
        <w:rPr>
          <w:i/>
          <w:iCs/>
          <w:color w:val="BF4E14" w:themeColor="accent2" w:themeShade="BF"/>
        </w:rPr>
        <w:t xml:space="preserve"> [INS]</w:t>
      </w:r>
      <w:r w:rsidRPr="00636EA3">
        <w:t xml:space="preserve"> ne pourra utiliser ces données que pour les finalités statistiques convenues, y compris l’analyse, le </w:t>
      </w:r>
      <w:proofErr w:type="spellStart"/>
      <w:r w:rsidRPr="00636EA3">
        <w:t>reporting</w:t>
      </w:r>
      <w:proofErr w:type="spellEnd"/>
      <w:r w:rsidRPr="00636EA3">
        <w:t xml:space="preserve"> et l’élaboration de politiques.</w:t>
      </w:r>
    </w:p>
    <w:p w14:paraId="59809949" w14:textId="77777777" w:rsidR="00BF58B5" w:rsidRPr="00636EA3" w:rsidRDefault="00BF58B5" w:rsidP="00BF58B5">
      <w:pPr>
        <w:pStyle w:val="Heading3"/>
      </w:pPr>
      <w:r w:rsidRPr="00636EA3">
        <w:t xml:space="preserve">Toute nouvelle méthodologie, modèle ou outil analytique développé conjointement par </w:t>
      </w:r>
      <w:r w:rsidRPr="00636EA3">
        <w:rPr>
          <w:i/>
          <w:iCs/>
          <w:color w:val="BF4E14" w:themeColor="accent2" w:themeShade="BF"/>
        </w:rPr>
        <w:t>[INS]</w:t>
      </w:r>
      <w:r w:rsidRPr="00636EA3">
        <w:rPr>
          <w:color w:val="BF4E14" w:themeColor="accent2" w:themeShade="BF"/>
        </w:rPr>
        <w:t xml:space="preserve"> </w:t>
      </w:r>
      <w:r w:rsidRPr="00636EA3">
        <w:t xml:space="preserve">et les partenaires techniques dans le cadre de cette collaboration sera </w:t>
      </w:r>
      <w:proofErr w:type="spellStart"/>
      <w:r w:rsidRPr="00636EA3">
        <w:t>co-détenu</w:t>
      </w:r>
      <w:proofErr w:type="spellEnd"/>
      <w:r w:rsidRPr="00636EA3">
        <w:t xml:space="preserve"> par les parties impliquées. Chaque partie aura le droit d’utiliser et de développer ces outils pour des usages non commerciaux.</w:t>
      </w:r>
    </w:p>
    <w:p w14:paraId="150B3199" w14:textId="35855FCF" w:rsidR="00CB5DD2" w:rsidRPr="00C07753" w:rsidRDefault="00BF58B5" w:rsidP="00BF58B5">
      <w:pPr>
        <w:pStyle w:val="Heading3"/>
      </w:pPr>
      <w:r w:rsidRPr="00636EA3">
        <w:t>Les publications, rapports et articles de recherche issus de cette collaboration devront mentionner et créditer toutes les parties contributrices de manière appropriée. Tout différend relatif à la propriété intellectuelle sera résolu par des négociations de bonne foi entre les parties.</w:t>
      </w:r>
    </w:p>
    <w:p w14:paraId="471D8BD0" w14:textId="77777777" w:rsidR="00BF58B5" w:rsidRPr="009A7987" w:rsidRDefault="00BF58B5" w:rsidP="00BF58B5">
      <w:pPr>
        <w:pStyle w:val="Heading1"/>
      </w:pPr>
      <w:r w:rsidRPr="009A7987">
        <w:t>Responsabilité</w:t>
      </w:r>
    </w:p>
    <w:p w14:paraId="53897903" w14:textId="77777777" w:rsidR="00BF58B5" w:rsidRPr="00636EA3" w:rsidRDefault="00BF58B5" w:rsidP="00BF58B5">
      <w:pPr>
        <w:pStyle w:val="Heading2"/>
      </w:pPr>
      <w:r w:rsidRPr="00636EA3">
        <w:t>Chaque partie signataire du présent PA sera responsable de ses propres actions et omissions. Aucune partie ne pourra être tenue responsable des pertes indirectes ou consécutives résultant de l’exécution de ce PA.</w:t>
      </w:r>
    </w:p>
    <w:p w14:paraId="5BF448BF" w14:textId="77777777" w:rsidR="00BF58B5" w:rsidRPr="00636EA3" w:rsidRDefault="00BF58B5" w:rsidP="00BF58B5">
      <w:pPr>
        <w:pStyle w:val="Heading2"/>
      </w:pPr>
      <w:r w:rsidRPr="00636EA3">
        <w:lastRenderedPageBreak/>
        <w:t xml:space="preserve">En cas de litiges juridiques liés à l’utilisation des DTM ou des activités connexes, </w:t>
      </w:r>
      <w:r w:rsidRPr="00B4366D">
        <w:rPr>
          <w:i/>
          <w:iCs/>
          <w:color w:val="BF4E14" w:themeColor="accent2" w:themeShade="BF"/>
        </w:rPr>
        <w:t xml:space="preserve">[OMT 1 ou </w:t>
      </w:r>
      <w:r>
        <w:rPr>
          <w:i/>
          <w:iCs/>
          <w:color w:val="BF4E14" w:themeColor="accent2" w:themeShade="BF"/>
        </w:rPr>
        <w:t>l</w:t>
      </w:r>
      <w:r w:rsidRPr="00B4366D">
        <w:rPr>
          <w:i/>
          <w:iCs/>
          <w:color w:val="BF4E14" w:themeColor="accent2" w:themeShade="BF"/>
        </w:rPr>
        <w:t xml:space="preserve">es </w:t>
      </w:r>
      <w:proofErr w:type="spellStart"/>
      <w:r w:rsidRPr="00B4366D">
        <w:rPr>
          <w:i/>
          <w:iCs/>
          <w:color w:val="BF4E14" w:themeColor="accent2" w:themeShade="BF"/>
        </w:rPr>
        <w:t>OMTs</w:t>
      </w:r>
      <w:proofErr w:type="spellEnd"/>
      <w:r w:rsidRPr="00B4366D">
        <w:rPr>
          <w:i/>
          <w:iCs/>
          <w:color w:val="BF4E14" w:themeColor="accent2" w:themeShade="BF"/>
        </w:rPr>
        <w:t>]</w:t>
      </w:r>
      <w:r>
        <w:t xml:space="preserve"> </w:t>
      </w:r>
      <w:r w:rsidRPr="00636EA3">
        <w:t>ne pourr</w:t>
      </w:r>
      <w:r>
        <w:t>a</w:t>
      </w:r>
      <w:r w:rsidRPr="00636EA3">
        <w:t xml:space="preserve"> être ten</w:t>
      </w:r>
      <w:r>
        <w:t xml:space="preserve">u </w:t>
      </w:r>
      <w:r w:rsidRPr="00636EA3">
        <w:t>responsable de toute mauvaise utilisation des données par d’autres parties, dès lors que les données ont été correctement transférées conformément aux protocoles établis dans le présent accord.</w:t>
      </w:r>
    </w:p>
    <w:p w14:paraId="17C073ED" w14:textId="4597AD5D" w:rsidR="00CB5DD2" w:rsidRPr="00C07753" w:rsidRDefault="00BF58B5" w:rsidP="00BF58B5">
      <w:pPr>
        <w:pStyle w:val="Heading2"/>
      </w:pPr>
      <w:r w:rsidRPr="00636EA3">
        <w:t xml:space="preserve">Le </w:t>
      </w:r>
      <w:r w:rsidRPr="00636EA3">
        <w:rPr>
          <w:i/>
          <w:iCs/>
          <w:color w:val="BF4E14" w:themeColor="accent2" w:themeShade="BF"/>
        </w:rPr>
        <w:t>[Régulateur]</w:t>
      </w:r>
      <w:r w:rsidRPr="00636EA3">
        <w:rPr>
          <w:color w:val="BF4E14" w:themeColor="accent2" w:themeShade="BF"/>
        </w:rPr>
        <w:t xml:space="preserve"> </w:t>
      </w:r>
      <w:r w:rsidRPr="00636EA3">
        <w:t>veillera à ce que toutes les exigences légales relatives à l’utilisation éthique des données soient respectées, minimisant ainsi les risques de responsabilité.</w:t>
      </w:r>
    </w:p>
    <w:p w14:paraId="6107BE27" w14:textId="77777777" w:rsidR="00BF58B5" w:rsidRPr="009A7987" w:rsidRDefault="00BF58B5" w:rsidP="00BF58B5">
      <w:pPr>
        <w:pStyle w:val="Heading1"/>
      </w:pPr>
      <w:r w:rsidRPr="009A7987">
        <w:t>Confidentialité</w:t>
      </w:r>
    </w:p>
    <w:p w14:paraId="0116D8D4" w14:textId="77777777" w:rsidR="00BF58B5" w:rsidRPr="00636EA3" w:rsidRDefault="00BF58B5" w:rsidP="00BF58B5">
      <w:pPr>
        <w:pStyle w:val="Heading2"/>
      </w:pPr>
      <w:r w:rsidRPr="00636EA3">
        <w:t xml:space="preserve">Toutes les parties conviennent que toute information </w:t>
      </w:r>
      <w:r>
        <w:t>privée</w:t>
      </w:r>
      <w:r w:rsidRPr="00636EA3">
        <w:t xml:space="preserve"> ou confidentielle échangée dans le cadre de cette collaboration sera traitée avec le plus haut niveau de confidentialité.</w:t>
      </w:r>
    </w:p>
    <w:p w14:paraId="6488FDC0" w14:textId="01ED6A3D" w:rsidR="00BF58B5" w:rsidRPr="00636EA3" w:rsidRDefault="00BF58B5" w:rsidP="00BF58B5">
      <w:pPr>
        <w:pStyle w:val="Heading2"/>
      </w:pPr>
      <w:r w:rsidRPr="00636EA3">
        <w:t xml:space="preserve">Les informations confidentielles incluent, </w:t>
      </w:r>
      <w:r>
        <w:t>entre autres</w:t>
      </w:r>
      <w:r w:rsidRPr="00636EA3">
        <w:t>, les données techniques, les stratégies commerciales, les méthodes opérationnelles et les données personnelles.</w:t>
      </w:r>
    </w:p>
    <w:p w14:paraId="767BAC8E" w14:textId="77777777" w:rsidR="00BF58B5" w:rsidRPr="00636EA3" w:rsidRDefault="00BF58B5" w:rsidP="00BF58B5">
      <w:pPr>
        <w:pStyle w:val="Heading2"/>
      </w:pPr>
      <w:r w:rsidRPr="00636EA3">
        <w:t>Chaque partie s’engage à garantir que ses employés, agents et sous-traitants respectent cette clause de confidentialité.</w:t>
      </w:r>
    </w:p>
    <w:p w14:paraId="2F6715D2" w14:textId="0197A7EB" w:rsidR="00CB5DD2" w:rsidRPr="00C07753" w:rsidRDefault="00BF58B5" w:rsidP="002D322C">
      <w:pPr>
        <w:pStyle w:val="Heading2"/>
      </w:pPr>
      <w:r w:rsidRPr="009A7987">
        <w:t>Toute violation de la confidentialité pourra donner lieu à des actions correctives, y compris d’éventuelles poursuites judiciaires.</w:t>
      </w:r>
    </w:p>
    <w:p w14:paraId="076DEA95" w14:textId="77777777" w:rsidR="002D322C" w:rsidRPr="0005654F" w:rsidRDefault="002D322C" w:rsidP="002D322C">
      <w:pPr>
        <w:pStyle w:val="Heading1"/>
      </w:pPr>
      <w:r w:rsidRPr="0005654F">
        <w:t>Noti</w:t>
      </w:r>
      <w:r>
        <w:t>fications</w:t>
      </w:r>
    </w:p>
    <w:p w14:paraId="1ECD12C0" w14:textId="77777777" w:rsidR="002D322C" w:rsidRPr="00B72C43" w:rsidRDefault="002D322C" w:rsidP="002D322C">
      <w:r>
        <w:t>T</w:t>
      </w:r>
      <w:r w:rsidRPr="00636EA3">
        <w:t>oute notification requise en vertu du présent PA devra être transmise par écrit aux représentants désignés des parties concernées.</w:t>
      </w:r>
      <w:r>
        <w:t xml:space="preserve"> </w:t>
      </w:r>
      <w:r w:rsidRPr="00636EA3">
        <w:t xml:space="preserve">Les notifications pourront être remises en main propre, envoyées par courrier ou transmises par courrier électronique. Une notification sera réputée effective dès sa réception par la partie destinataire. </w:t>
      </w:r>
    </w:p>
    <w:p w14:paraId="3C550134" w14:textId="77777777" w:rsidR="002D322C" w:rsidRPr="00595112" w:rsidRDefault="002D322C" w:rsidP="002D322C">
      <w:pPr>
        <w:spacing w:line="360" w:lineRule="auto"/>
        <w:jc w:val="left"/>
      </w:pPr>
      <w:r w:rsidRPr="00636EA3">
        <w:t xml:space="preserve">Pour </w:t>
      </w:r>
      <w:r w:rsidRPr="00636EA3">
        <w:rPr>
          <w:i/>
          <w:iCs/>
          <w:color w:val="BF4E14" w:themeColor="accent2" w:themeShade="BF"/>
        </w:rPr>
        <w:t>[INS]</w:t>
      </w:r>
      <w:r w:rsidRPr="00636EA3">
        <w:t>, les notifications devront être adressées à</w:t>
      </w:r>
      <w:r>
        <w:t> :</w:t>
      </w:r>
      <w:r w:rsidRPr="00595112">
        <w:t xml:space="preserve"> </w:t>
      </w:r>
      <w:r w:rsidRPr="00595112">
        <w:br/>
      </w:r>
      <w:r w:rsidRPr="00595112">
        <w:rPr>
          <w:b/>
          <w:bCs/>
        </w:rPr>
        <w:t>Nom</w:t>
      </w:r>
      <w:r>
        <w:rPr>
          <w:b/>
          <w:bCs/>
        </w:rPr>
        <w:t> :</w:t>
      </w:r>
      <w:r w:rsidRPr="00595112">
        <w:t xml:space="preserve"> _____________________</w:t>
      </w:r>
      <w:r w:rsidRPr="00595112">
        <w:br/>
      </w:r>
      <w:r w:rsidRPr="00595112">
        <w:rPr>
          <w:b/>
          <w:bCs/>
        </w:rPr>
        <w:t>Titre</w:t>
      </w:r>
      <w:r>
        <w:rPr>
          <w:b/>
          <w:bCs/>
        </w:rPr>
        <w:t> :</w:t>
      </w:r>
      <w:r w:rsidRPr="00595112">
        <w:t xml:space="preserve"> __________________</w:t>
      </w:r>
      <w:r w:rsidRPr="00595112">
        <w:br/>
      </w:r>
      <w:r w:rsidRPr="00595112">
        <w:rPr>
          <w:b/>
          <w:bCs/>
        </w:rPr>
        <w:t>Adresse</w:t>
      </w:r>
      <w:r>
        <w:rPr>
          <w:b/>
          <w:bCs/>
        </w:rPr>
        <w:t> :</w:t>
      </w:r>
      <w:r w:rsidRPr="00595112">
        <w:t xml:space="preserve"> ___________________</w:t>
      </w:r>
      <w:r w:rsidRPr="00595112">
        <w:br/>
      </w:r>
      <w:r w:rsidRPr="00595112">
        <w:rPr>
          <w:b/>
          <w:bCs/>
        </w:rPr>
        <w:t>Email</w:t>
      </w:r>
      <w:r>
        <w:rPr>
          <w:b/>
          <w:bCs/>
        </w:rPr>
        <w:t> :</w:t>
      </w:r>
      <w:r w:rsidRPr="00595112">
        <w:t xml:space="preserve"> _____________________</w:t>
      </w:r>
    </w:p>
    <w:p w14:paraId="241BFD3C" w14:textId="77777777" w:rsidR="002D322C" w:rsidRPr="00595112" w:rsidRDefault="002D322C" w:rsidP="002D322C">
      <w:pPr>
        <w:spacing w:line="360" w:lineRule="auto"/>
        <w:jc w:val="left"/>
      </w:pPr>
      <w:r>
        <w:t>Pour</w:t>
      </w:r>
      <w:r w:rsidRPr="00595112">
        <w:t xml:space="preserve"> </w:t>
      </w:r>
      <w:r w:rsidRPr="00595112">
        <w:rPr>
          <w:i/>
          <w:iCs/>
          <w:color w:val="BF4E14" w:themeColor="accent2" w:themeShade="BF"/>
        </w:rPr>
        <w:t>[Régulateur]</w:t>
      </w:r>
      <w:r w:rsidRPr="00595112">
        <w:t xml:space="preserve">, </w:t>
      </w:r>
      <w:r w:rsidRPr="00636EA3">
        <w:t>les notifications devront être adressées à</w:t>
      </w:r>
      <w:r>
        <w:t> :</w:t>
      </w:r>
      <w:r w:rsidRPr="00595112">
        <w:br/>
      </w:r>
      <w:r w:rsidRPr="00595112">
        <w:rPr>
          <w:b/>
          <w:bCs/>
        </w:rPr>
        <w:t>Nom :</w:t>
      </w:r>
      <w:r w:rsidRPr="00595112">
        <w:t xml:space="preserve"> _____________________</w:t>
      </w:r>
      <w:r w:rsidRPr="00595112">
        <w:br/>
      </w:r>
      <w:r w:rsidRPr="00595112">
        <w:rPr>
          <w:b/>
          <w:bCs/>
        </w:rPr>
        <w:t>Titre :</w:t>
      </w:r>
      <w:r w:rsidRPr="00595112">
        <w:t xml:space="preserve"> __________________</w:t>
      </w:r>
      <w:r w:rsidRPr="00595112">
        <w:br/>
      </w:r>
      <w:r w:rsidRPr="00595112">
        <w:rPr>
          <w:b/>
          <w:bCs/>
        </w:rPr>
        <w:t>Adresse :</w:t>
      </w:r>
      <w:r w:rsidRPr="00595112">
        <w:t xml:space="preserve"> ___________________</w:t>
      </w:r>
      <w:r w:rsidRPr="00595112">
        <w:br/>
      </w:r>
      <w:r w:rsidRPr="00595112">
        <w:rPr>
          <w:b/>
          <w:bCs/>
        </w:rPr>
        <w:t>Email :</w:t>
      </w:r>
      <w:r w:rsidRPr="00595112">
        <w:t xml:space="preserve"> _____________________</w:t>
      </w:r>
    </w:p>
    <w:p w14:paraId="60CEBC5D" w14:textId="77777777" w:rsidR="002D322C" w:rsidRPr="00595112" w:rsidRDefault="002D322C" w:rsidP="002D322C">
      <w:pPr>
        <w:spacing w:line="360" w:lineRule="auto"/>
        <w:jc w:val="left"/>
      </w:pPr>
      <w:r w:rsidRPr="00595112">
        <w:lastRenderedPageBreak/>
        <w:t xml:space="preserve">Pour </w:t>
      </w:r>
      <w:r w:rsidRPr="00595112">
        <w:rPr>
          <w:i/>
          <w:iCs/>
          <w:color w:val="BF4E14" w:themeColor="accent2" w:themeShade="BF"/>
        </w:rPr>
        <w:t>[OMT 1]</w:t>
      </w:r>
      <w:r w:rsidRPr="00595112">
        <w:t xml:space="preserve">, </w:t>
      </w:r>
      <w:r w:rsidRPr="00636EA3">
        <w:t>les notifications devront être adressées à</w:t>
      </w:r>
      <w:r>
        <w:t> :</w:t>
      </w:r>
      <w:r w:rsidRPr="00595112">
        <w:br/>
      </w:r>
      <w:r w:rsidRPr="00595112">
        <w:rPr>
          <w:b/>
          <w:bCs/>
        </w:rPr>
        <w:t>Nom :</w:t>
      </w:r>
      <w:r w:rsidRPr="00595112">
        <w:t xml:space="preserve"> _____________________</w:t>
      </w:r>
      <w:r w:rsidRPr="00595112">
        <w:br/>
      </w:r>
      <w:r w:rsidRPr="00595112">
        <w:rPr>
          <w:b/>
          <w:bCs/>
        </w:rPr>
        <w:t>Titre :</w:t>
      </w:r>
      <w:r w:rsidRPr="00595112">
        <w:t xml:space="preserve"> __________________</w:t>
      </w:r>
      <w:r w:rsidRPr="00595112">
        <w:br/>
      </w:r>
      <w:r w:rsidRPr="00595112">
        <w:rPr>
          <w:b/>
          <w:bCs/>
        </w:rPr>
        <w:t>Adresse :</w:t>
      </w:r>
      <w:r w:rsidRPr="00595112">
        <w:t xml:space="preserve"> ___________________</w:t>
      </w:r>
      <w:r w:rsidRPr="00595112">
        <w:br/>
      </w:r>
      <w:r w:rsidRPr="00595112">
        <w:rPr>
          <w:b/>
          <w:bCs/>
        </w:rPr>
        <w:t>Email :</w:t>
      </w:r>
      <w:r w:rsidRPr="00595112">
        <w:t xml:space="preserve"> _____________________</w:t>
      </w:r>
    </w:p>
    <w:p w14:paraId="3FD35385" w14:textId="77777777" w:rsidR="002D322C" w:rsidRPr="0005654F" w:rsidRDefault="002D322C" w:rsidP="002D322C">
      <w:pPr>
        <w:pStyle w:val="Heading1"/>
      </w:pPr>
      <w:bookmarkStart w:id="15" w:name="_Hlk190514941"/>
      <w:r>
        <w:t>Cession</w:t>
      </w:r>
    </w:p>
    <w:p w14:paraId="2937F24E" w14:textId="77777777" w:rsidR="002D322C" w:rsidRPr="00240CAC" w:rsidRDefault="002D322C" w:rsidP="002D322C">
      <w:pPr>
        <w:pStyle w:val="Heading2"/>
      </w:pPr>
      <w:r w:rsidRPr="00240CAC">
        <w:t xml:space="preserve">Aucune </w:t>
      </w:r>
      <w:r>
        <w:t>P</w:t>
      </w:r>
      <w:r w:rsidRPr="00240CAC">
        <w:t>artie ne pourra céder, transférer ou déléguer ses droits ou obligations en vertu du présent PA sans le consentement écrit préalable des autres parties.</w:t>
      </w:r>
    </w:p>
    <w:p w14:paraId="62575DC5" w14:textId="77777777" w:rsidR="002D322C" w:rsidRPr="00240CAC" w:rsidRDefault="002D322C" w:rsidP="002D322C">
      <w:pPr>
        <w:pStyle w:val="Heading2"/>
      </w:pPr>
      <w:r w:rsidRPr="00240CAC">
        <w:t>Toute tentative de cession sans ce consentement sera considérée comme nulle et non avenue.</w:t>
      </w:r>
    </w:p>
    <w:p w14:paraId="4CB53AB0" w14:textId="77777777" w:rsidR="002D322C" w:rsidRPr="00240CAC" w:rsidRDefault="002D322C" w:rsidP="002D322C">
      <w:pPr>
        <w:pStyle w:val="Heading2"/>
      </w:pPr>
      <w:r w:rsidRPr="00240CAC">
        <w:t>Toutefois, chaque partie pourra sous-traiter certaines de ses obligations, à condition que le sous-traitant accepte de se conformer aux termes du présent PA.</w:t>
      </w:r>
    </w:p>
    <w:p w14:paraId="49E829FE" w14:textId="77777777" w:rsidR="002D322C" w:rsidRPr="0005654F" w:rsidRDefault="002D322C" w:rsidP="002D322C">
      <w:pPr>
        <w:pStyle w:val="Heading1"/>
      </w:pPr>
      <w:r>
        <w:t>Droits des tiers</w:t>
      </w:r>
    </w:p>
    <w:p w14:paraId="6A9FDDB9" w14:textId="0EEBE736" w:rsidR="002D322C" w:rsidRPr="001B7B2C" w:rsidRDefault="002D322C" w:rsidP="002D322C">
      <w:r w:rsidRPr="001B7B2C">
        <w:t>Le présent PA est exclusivement destiné au bénéfice des parties signataires.</w:t>
      </w:r>
      <w:r>
        <w:t xml:space="preserve"> </w:t>
      </w:r>
      <w:r w:rsidRPr="001B7B2C">
        <w:t xml:space="preserve">Aucun tiers ne pourra revendiquer de droits ni faire valoir un quelconque bénéfice en vertu de cet accord, que ce soit en vertu d’une loi, d’un contrat ou de tout autre principe juridique, sauf en ce qui concerne les affiliés, successeurs ou ayants </w:t>
      </w:r>
      <w:proofErr w:type="gramStart"/>
      <w:r w:rsidRPr="001B7B2C">
        <w:t>droit expressément mentionnés</w:t>
      </w:r>
      <w:proofErr w:type="gramEnd"/>
      <w:r w:rsidRPr="001B7B2C">
        <w:t xml:space="preserve"> dans le présent accord.</w:t>
      </w:r>
    </w:p>
    <w:p w14:paraId="1209E3FE" w14:textId="77777777" w:rsidR="002D322C" w:rsidRPr="009A7987" w:rsidRDefault="002D322C" w:rsidP="002D322C">
      <w:pPr>
        <w:pStyle w:val="Heading1"/>
      </w:pPr>
      <w:r w:rsidRPr="009A7987">
        <w:t>Divisibilité</w:t>
      </w:r>
    </w:p>
    <w:p w14:paraId="207C3C53" w14:textId="77777777" w:rsidR="002D322C" w:rsidRPr="001B7B2C" w:rsidRDefault="002D322C" w:rsidP="002D322C">
      <w:r w:rsidRPr="001B7B2C">
        <w:t>Si une disposition du présent PA est jugée illégale, invalide ou inapplicable par un tribunal ou une autorité compétente, cette disposition sera réputée supprimée dans la mesure nécessaire.</w:t>
      </w:r>
      <w:r>
        <w:t xml:space="preserve"> </w:t>
      </w:r>
      <w:r w:rsidRPr="001B7B2C">
        <w:t>Toutefois, les autres dispositions du présent PA resteront pleinement en vigueur et conserveront tous leurs effets.</w:t>
      </w:r>
    </w:p>
    <w:p w14:paraId="4DA56563" w14:textId="77777777" w:rsidR="002D322C" w:rsidRPr="009A7987" w:rsidRDefault="002D322C" w:rsidP="002D322C">
      <w:pPr>
        <w:pStyle w:val="Heading1"/>
      </w:pPr>
      <w:r w:rsidRPr="009A7987">
        <w:t>Modifications et amendements</w:t>
      </w:r>
    </w:p>
    <w:p w14:paraId="5D2F7303" w14:textId="77777777" w:rsidR="002D322C" w:rsidRPr="001B7B2C" w:rsidRDefault="002D322C" w:rsidP="002D322C">
      <w:pPr>
        <w:pStyle w:val="Heading2"/>
      </w:pPr>
      <w:r w:rsidRPr="001B7B2C">
        <w:t>Toute modification ou tout amendement au présent PA devra être effectué par écrit et approuvé par toutes les parties.</w:t>
      </w:r>
    </w:p>
    <w:p w14:paraId="005C1F79" w14:textId="77777777" w:rsidR="002D322C" w:rsidRPr="001B7B2C" w:rsidRDefault="002D322C" w:rsidP="002D322C">
      <w:pPr>
        <w:pStyle w:val="Heading2"/>
      </w:pPr>
      <w:r w:rsidRPr="001B7B2C">
        <w:t>Aucune modification orale ne sera acceptée.</w:t>
      </w:r>
    </w:p>
    <w:p w14:paraId="69300F37" w14:textId="77777777" w:rsidR="002D322C" w:rsidRPr="001B7B2C" w:rsidRDefault="002D322C" w:rsidP="002D322C">
      <w:pPr>
        <w:pStyle w:val="Heading2"/>
      </w:pPr>
      <w:r w:rsidRPr="001B7B2C">
        <w:t>Les amendements prendront effet dès la signature de l’accord révisé par les représentants autorisés de toutes les parties.</w:t>
      </w:r>
    </w:p>
    <w:p w14:paraId="2AC53CEB" w14:textId="77777777" w:rsidR="002D322C" w:rsidRPr="009A7987" w:rsidRDefault="002D322C" w:rsidP="002D322C">
      <w:pPr>
        <w:pStyle w:val="Heading1"/>
      </w:pPr>
      <w:r w:rsidRPr="009A7987">
        <w:t>Versions et exemplaires</w:t>
      </w:r>
    </w:p>
    <w:p w14:paraId="6BBED0FF" w14:textId="77777777" w:rsidR="002D322C" w:rsidRPr="001851D9" w:rsidRDefault="002D322C" w:rsidP="002D322C">
      <w:r w:rsidRPr="001851D9">
        <w:t>Le présent PA pourra être signé en plusieurs exemplaires, chacun étant considéré comme un original, mais constituant ensemble un seul et même accord.</w:t>
      </w:r>
      <w:r>
        <w:t xml:space="preserve"> </w:t>
      </w:r>
      <w:r w:rsidRPr="001851D9">
        <w:t>Les copies transmises par courrier électronique ou par tout autre moyen électronique seront considérées comme des originaux à toutes fins légales.</w:t>
      </w:r>
    </w:p>
    <w:bookmarkEnd w:id="15"/>
    <w:p w14:paraId="0B9B2D34" w14:textId="77777777" w:rsidR="002D322C" w:rsidRPr="009A7987" w:rsidRDefault="002D322C" w:rsidP="002D322C">
      <w:pPr>
        <w:pStyle w:val="Heading1"/>
        <w:rPr>
          <w:bCs/>
        </w:rPr>
      </w:pPr>
      <w:r w:rsidRPr="009A7987">
        <w:rPr>
          <w:bCs/>
        </w:rPr>
        <w:lastRenderedPageBreak/>
        <w:t>En foi de quoi</w:t>
      </w:r>
    </w:p>
    <w:p w14:paraId="5B21E993" w14:textId="77777777" w:rsidR="002D322C" w:rsidRPr="001851D9" w:rsidRDefault="002D322C" w:rsidP="002D322C">
      <w:r w:rsidRPr="001851D9">
        <w:t>Le présent PA est conclu et signé par les représentants ci-dessous, qui déclarent être dûment autorisés à signer au nom de leurs organisations respectives</w:t>
      </w:r>
      <w:r>
        <w:t> :</w:t>
      </w:r>
    </w:p>
    <w:p w14:paraId="3F0A8365" w14:textId="77777777" w:rsidR="002D322C" w:rsidRPr="000421D7" w:rsidRDefault="002D322C" w:rsidP="002D322C">
      <w:pPr>
        <w:spacing w:line="360" w:lineRule="auto"/>
        <w:jc w:val="left"/>
      </w:pPr>
      <w:r w:rsidRPr="000421D7">
        <w:rPr>
          <w:b/>
          <w:bCs/>
        </w:rPr>
        <w:t xml:space="preserve">Pour </w:t>
      </w:r>
      <w:r w:rsidRPr="000421D7">
        <w:rPr>
          <w:b/>
          <w:bCs/>
          <w:i/>
          <w:iCs/>
          <w:color w:val="BF4E14" w:themeColor="accent2" w:themeShade="BF"/>
        </w:rPr>
        <w:t>[INS</w:t>
      </w:r>
      <w:proofErr w:type="gramStart"/>
      <w:r w:rsidRPr="000421D7">
        <w:rPr>
          <w:b/>
          <w:bCs/>
          <w:i/>
          <w:iCs/>
          <w:color w:val="BF4E14" w:themeColor="accent2" w:themeShade="BF"/>
        </w:rPr>
        <w:t>]</w:t>
      </w:r>
      <w:r w:rsidRPr="000421D7">
        <w:rPr>
          <w:b/>
          <w:bCs/>
        </w:rPr>
        <w:t>:</w:t>
      </w:r>
      <w:proofErr w:type="gramEnd"/>
      <w:r w:rsidRPr="000421D7">
        <w:br/>
      </w:r>
      <w:r>
        <w:t>Nom :</w:t>
      </w:r>
      <w:r w:rsidRPr="000421D7">
        <w:t xml:space="preserve"> ___________________________</w:t>
      </w:r>
      <w:r w:rsidRPr="000421D7">
        <w:br/>
      </w:r>
      <w:r>
        <w:t>Titre :</w:t>
      </w:r>
      <w:r w:rsidRPr="000421D7">
        <w:t xml:space="preserve"> ________________________</w:t>
      </w:r>
      <w:r w:rsidRPr="000421D7">
        <w:br/>
        <w:t>Signature</w:t>
      </w:r>
      <w:r>
        <w:t> :</w:t>
      </w:r>
      <w:r w:rsidRPr="000421D7">
        <w:t xml:space="preserve"> _______________________</w:t>
      </w:r>
      <w:r w:rsidRPr="000421D7">
        <w:br/>
        <w:t>Date</w:t>
      </w:r>
      <w:r>
        <w:t> :</w:t>
      </w:r>
      <w:r w:rsidRPr="000421D7">
        <w:t xml:space="preserve"> ___________________________</w:t>
      </w:r>
    </w:p>
    <w:p w14:paraId="115F8F1D" w14:textId="77777777" w:rsidR="002D322C" w:rsidRPr="000421D7" w:rsidRDefault="002D322C" w:rsidP="002D322C">
      <w:pPr>
        <w:spacing w:line="360" w:lineRule="auto"/>
        <w:jc w:val="left"/>
      </w:pPr>
      <w:r w:rsidRPr="000421D7">
        <w:rPr>
          <w:b/>
          <w:bCs/>
        </w:rPr>
        <w:t xml:space="preserve">Pour </w:t>
      </w:r>
      <w:r w:rsidRPr="000421D7">
        <w:rPr>
          <w:b/>
          <w:bCs/>
          <w:i/>
          <w:iCs/>
          <w:color w:val="BF4E14" w:themeColor="accent2" w:themeShade="BF"/>
        </w:rPr>
        <w:t>[Régulateur</w:t>
      </w:r>
      <w:proofErr w:type="gramStart"/>
      <w:r w:rsidRPr="000421D7">
        <w:rPr>
          <w:b/>
          <w:bCs/>
          <w:i/>
          <w:iCs/>
          <w:color w:val="BF4E14" w:themeColor="accent2" w:themeShade="BF"/>
        </w:rPr>
        <w:t>]</w:t>
      </w:r>
      <w:r w:rsidRPr="000421D7">
        <w:rPr>
          <w:b/>
          <w:bCs/>
        </w:rPr>
        <w:t>:</w:t>
      </w:r>
      <w:proofErr w:type="gramEnd"/>
      <w:r w:rsidRPr="000421D7">
        <w:br/>
      </w:r>
      <w:r>
        <w:t>Nom :</w:t>
      </w:r>
      <w:r w:rsidRPr="000421D7">
        <w:t xml:space="preserve"> ___________________________</w:t>
      </w:r>
      <w:r w:rsidRPr="000421D7">
        <w:br/>
      </w:r>
      <w:r>
        <w:t>Titre :</w:t>
      </w:r>
      <w:r w:rsidRPr="000421D7">
        <w:t xml:space="preserve"> ________________________</w:t>
      </w:r>
      <w:r w:rsidRPr="000421D7">
        <w:br/>
        <w:t>Signature</w:t>
      </w:r>
      <w:r>
        <w:t> :</w:t>
      </w:r>
      <w:r w:rsidRPr="000421D7">
        <w:t xml:space="preserve"> _______________________</w:t>
      </w:r>
      <w:r w:rsidRPr="000421D7">
        <w:br/>
        <w:t>Date</w:t>
      </w:r>
      <w:r>
        <w:t> :</w:t>
      </w:r>
      <w:r w:rsidRPr="000421D7">
        <w:t xml:space="preserve"> ___________________________</w:t>
      </w:r>
    </w:p>
    <w:p w14:paraId="3209E026" w14:textId="1A0201B6" w:rsidR="00CB5DD2" w:rsidRPr="00C07753" w:rsidRDefault="002D322C" w:rsidP="002D322C">
      <w:pPr>
        <w:spacing w:line="360" w:lineRule="auto"/>
        <w:jc w:val="left"/>
      </w:pPr>
      <w:r w:rsidRPr="000421D7">
        <w:rPr>
          <w:b/>
          <w:bCs/>
        </w:rPr>
        <w:t xml:space="preserve">Pour </w:t>
      </w:r>
      <w:r w:rsidRPr="000421D7">
        <w:rPr>
          <w:b/>
          <w:bCs/>
          <w:i/>
          <w:iCs/>
          <w:color w:val="BF4E14" w:themeColor="accent2" w:themeShade="BF"/>
        </w:rPr>
        <w:t>[MNO 1</w:t>
      </w:r>
      <w:proofErr w:type="gramStart"/>
      <w:r w:rsidRPr="000421D7">
        <w:rPr>
          <w:b/>
          <w:bCs/>
          <w:i/>
          <w:iCs/>
          <w:color w:val="BF4E14" w:themeColor="accent2" w:themeShade="BF"/>
        </w:rPr>
        <w:t>]</w:t>
      </w:r>
      <w:r w:rsidRPr="000421D7">
        <w:rPr>
          <w:b/>
          <w:bCs/>
        </w:rPr>
        <w:t>:</w:t>
      </w:r>
      <w:proofErr w:type="gramEnd"/>
      <w:r w:rsidRPr="000421D7">
        <w:br/>
      </w:r>
      <w:r>
        <w:t>Nom :</w:t>
      </w:r>
      <w:r w:rsidRPr="000421D7">
        <w:t xml:space="preserve"> ___________________________</w:t>
      </w:r>
      <w:r w:rsidRPr="000421D7">
        <w:br/>
      </w:r>
      <w:r>
        <w:t>Titre :</w:t>
      </w:r>
      <w:r w:rsidRPr="000421D7">
        <w:t xml:space="preserve"> ________________________</w:t>
      </w:r>
      <w:r w:rsidRPr="000421D7">
        <w:br/>
        <w:t>Signature</w:t>
      </w:r>
      <w:r>
        <w:t> :</w:t>
      </w:r>
      <w:r w:rsidRPr="000421D7">
        <w:t xml:space="preserve"> _______________________</w:t>
      </w:r>
      <w:r w:rsidRPr="000421D7">
        <w:br/>
        <w:t>Date</w:t>
      </w:r>
      <w:r>
        <w:t> :</w:t>
      </w:r>
      <w:r w:rsidRPr="000421D7">
        <w:t xml:space="preserve"> ___________________________</w:t>
      </w:r>
      <w:r w:rsidR="00CB5DD2" w:rsidRPr="00C07753">
        <w:br w:type="page"/>
      </w:r>
    </w:p>
    <w:p w14:paraId="4937AFFF" w14:textId="55B454D4" w:rsidR="00C51A56" w:rsidRPr="00E35B96" w:rsidRDefault="00E35B96" w:rsidP="00C51A56">
      <w:pPr>
        <w:pStyle w:val="Title"/>
        <w:jc w:val="left"/>
      </w:pPr>
      <w:r w:rsidRPr="00E35B96">
        <w:lastRenderedPageBreak/>
        <w:t>Annexe 1 : Fiche de Spécifications des Données gouver</w:t>
      </w:r>
      <w:r>
        <w:t xml:space="preserve">nant la mise à jour à intervalles réguliers de données de niveau I nano sur le serveur de </w:t>
      </w:r>
      <w:r w:rsidRPr="00E35B96">
        <w:rPr>
          <w:i/>
          <w:iCs/>
          <w:color w:val="BF4E14" w:themeColor="accent2" w:themeShade="BF"/>
        </w:rPr>
        <w:t>[OTM]</w:t>
      </w:r>
      <w:r w:rsidR="00C51A56" w:rsidRPr="00E35B96">
        <w:t xml:space="preserve"> </w:t>
      </w:r>
    </w:p>
    <w:p w14:paraId="75DD6810" w14:textId="77777777" w:rsidR="00E35B96" w:rsidRPr="009A7987" w:rsidRDefault="00E35B96" w:rsidP="00E35B96">
      <w:pPr>
        <w:spacing w:before="240" w:after="0"/>
      </w:pPr>
      <w:r w:rsidRPr="009A7987">
        <w:rPr>
          <w:u w:val="single"/>
        </w:rPr>
        <w:t>Type de données requises :</w:t>
      </w:r>
      <w:r w:rsidRPr="009A7987">
        <w:t xml:space="preserve"> </w:t>
      </w:r>
    </w:p>
    <w:p w14:paraId="49EE265F" w14:textId="74B60468" w:rsidR="00E35B96" w:rsidRPr="009A7987" w:rsidRDefault="00E35B96" w:rsidP="00E35B96">
      <w:pPr>
        <w:spacing w:before="240" w:after="0"/>
        <w:rPr>
          <w:i/>
          <w:iCs/>
          <w:color w:val="3A7C22" w:themeColor="accent6" w:themeShade="BF"/>
        </w:rPr>
      </w:pPr>
      <w:r w:rsidRPr="009A7987">
        <w:rPr>
          <w:i/>
          <w:iCs/>
          <w:color w:val="3A7C22" w:themeColor="accent6" w:themeShade="BF"/>
          <w:u w:val="single"/>
        </w:rPr>
        <w:t>Exemple</w:t>
      </w:r>
      <w:r>
        <w:rPr>
          <w:i/>
          <w:iCs/>
          <w:color w:val="3A7C22" w:themeColor="accent6" w:themeShade="BF"/>
          <w:u w:val="single"/>
        </w:rPr>
        <w:t> :</w:t>
      </w:r>
    </w:p>
    <w:p w14:paraId="5042EE64" w14:textId="146CA9B5" w:rsidR="00E35B96" w:rsidRPr="009A7987" w:rsidRDefault="00E35B96" w:rsidP="00E35B96">
      <w:pPr>
        <w:rPr>
          <w:i/>
          <w:iCs/>
          <w:color w:val="3A7C22" w:themeColor="accent6" w:themeShade="BF"/>
        </w:rPr>
      </w:pPr>
      <w:r w:rsidRPr="009A7987">
        <w:rPr>
          <w:i/>
          <w:iCs/>
          <w:color w:val="3A7C22" w:themeColor="accent6" w:themeShade="BF"/>
        </w:rPr>
        <w:t xml:space="preserve">Comptes-rendus d’appel (Call </w:t>
      </w:r>
      <w:proofErr w:type="spellStart"/>
      <w:r w:rsidRPr="009A7987">
        <w:rPr>
          <w:i/>
          <w:iCs/>
          <w:color w:val="3A7C22" w:themeColor="accent6" w:themeShade="BF"/>
        </w:rPr>
        <w:t>Detail</w:t>
      </w:r>
      <w:proofErr w:type="spellEnd"/>
      <w:r w:rsidRPr="009A7987">
        <w:rPr>
          <w:i/>
          <w:iCs/>
          <w:color w:val="3A7C22" w:themeColor="accent6" w:themeShade="BF"/>
        </w:rPr>
        <w:t xml:space="preserve"> Records (CDR)) contenant tous les événements suivants : appels, SMS, data.</w:t>
      </w:r>
    </w:p>
    <w:p w14:paraId="32C0510A" w14:textId="77777777" w:rsidR="00E35B96" w:rsidRPr="009A7987" w:rsidRDefault="00E35B96" w:rsidP="00E35B96">
      <w:pPr>
        <w:spacing w:before="240" w:after="0"/>
      </w:pPr>
      <w:r w:rsidRPr="009A7987">
        <w:rPr>
          <w:u w:val="single"/>
        </w:rPr>
        <w:t>Variables :</w:t>
      </w:r>
    </w:p>
    <w:p w14:paraId="16F1B6E4" w14:textId="7399EDE8" w:rsidR="00E35B96" w:rsidRPr="009A7987" w:rsidRDefault="00E35B96" w:rsidP="00E35B96">
      <w:pPr>
        <w:spacing w:before="240" w:after="0"/>
        <w:rPr>
          <w:i/>
          <w:iCs/>
          <w:color w:val="3A7C22" w:themeColor="accent6" w:themeShade="BF"/>
        </w:rPr>
      </w:pPr>
      <w:r w:rsidRPr="009A7987">
        <w:rPr>
          <w:i/>
          <w:iCs/>
          <w:color w:val="3A7C22" w:themeColor="accent6" w:themeShade="BF"/>
          <w:u w:val="single"/>
        </w:rPr>
        <w:t>Exemple</w:t>
      </w:r>
      <w:r>
        <w:rPr>
          <w:i/>
          <w:iCs/>
          <w:color w:val="3A7C22" w:themeColor="accent6" w:themeShade="BF"/>
          <w:u w:val="single"/>
        </w:rPr>
        <w:t> :</w:t>
      </w:r>
    </w:p>
    <w:p w14:paraId="5201FC87" w14:textId="77777777" w:rsidR="00E35B96" w:rsidRPr="009A7987" w:rsidRDefault="00E35B96" w:rsidP="00E35B96">
      <w:pPr>
        <w:pStyle w:val="ListParagraph"/>
        <w:numPr>
          <w:ilvl w:val="0"/>
          <w:numId w:val="6"/>
        </w:numPr>
        <w:spacing w:after="0"/>
        <w:rPr>
          <w:rFonts w:eastAsiaTheme="minorEastAsia"/>
          <w:i/>
          <w:iCs/>
          <w:color w:val="3A7C22" w:themeColor="accent6" w:themeShade="BF"/>
        </w:rPr>
      </w:pPr>
      <w:r w:rsidRPr="009A7987">
        <w:rPr>
          <w:rFonts w:eastAsiaTheme="minorEastAsia"/>
          <w:i/>
          <w:iCs/>
          <w:color w:val="3A7C22" w:themeColor="accent6" w:themeShade="BF"/>
        </w:rPr>
        <w:t>International Mobile Equipment Identity (IMEI) de l’utilisateur (identifiant de l’appareil mobile)</w:t>
      </w:r>
    </w:p>
    <w:p w14:paraId="3141AD9F" w14:textId="77777777" w:rsidR="00E35B96" w:rsidRPr="009A7987" w:rsidRDefault="00E35B96" w:rsidP="00E35B96">
      <w:pPr>
        <w:pStyle w:val="ListParagraph"/>
        <w:numPr>
          <w:ilvl w:val="0"/>
          <w:numId w:val="5"/>
        </w:numPr>
        <w:spacing w:after="0"/>
        <w:rPr>
          <w:rFonts w:eastAsiaTheme="minorEastAsia"/>
          <w:i/>
          <w:iCs/>
          <w:color w:val="3A7C22" w:themeColor="accent6" w:themeShade="BF"/>
        </w:rPr>
      </w:pPr>
      <w:r w:rsidRPr="009A7987">
        <w:rPr>
          <w:rFonts w:eastAsiaTheme="minorEastAsia"/>
          <w:i/>
          <w:iCs/>
          <w:color w:val="3A7C22" w:themeColor="accent6" w:themeShade="BF"/>
        </w:rPr>
        <w:t xml:space="preserve">International Mobile </w:t>
      </w:r>
      <w:proofErr w:type="spellStart"/>
      <w:r w:rsidRPr="009A7987">
        <w:rPr>
          <w:rFonts w:eastAsiaTheme="minorEastAsia"/>
          <w:i/>
          <w:iCs/>
          <w:color w:val="3A7C22" w:themeColor="accent6" w:themeShade="BF"/>
        </w:rPr>
        <w:t>Subscriber</w:t>
      </w:r>
      <w:proofErr w:type="spellEnd"/>
      <w:r w:rsidRPr="009A7987">
        <w:rPr>
          <w:rFonts w:eastAsiaTheme="minorEastAsia"/>
          <w:i/>
          <w:iCs/>
          <w:color w:val="3A7C22" w:themeColor="accent6" w:themeShade="BF"/>
        </w:rPr>
        <w:t xml:space="preserve"> Identity (IMSI) de l’utilisateur (identifiant de la carte SIM)</w:t>
      </w:r>
    </w:p>
    <w:p w14:paraId="3FAE79CA" w14:textId="77777777" w:rsidR="00E35B96" w:rsidRPr="009A7987" w:rsidRDefault="00E35B96" w:rsidP="00E35B96">
      <w:pPr>
        <w:pStyle w:val="ListParagraph"/>
        <w:numPr>
          <w:ilvl w:val="0"/>
          <w:numId w:val="4"/>
        </w:numPr>
        <w:spacing w:after="0"/>
        <w:rPr>
          <w:rFonts w:eastAsiaTheme="minorEastAsia"/>
          <w:i/>
          <w:iCs/>
          <w:color w:val="3A7C22" w:themeColor="accent6" w:themeShade="BF"/>
        </w:rPr>
      </w:pPr>
      <w:r w:rsidRPr="009A7987">
        <w:rPr>
          <w:rFonts w:eastAsiaTheme="minorEastAsia"/>
          <w:i/>
          <w:iCs/>
          <w:color w:val="3A7C22" w:themeColor="accent6" w:themeShade="BF"/>
        </w:rPr>
        <w:t>Date de début de l’événement</w:t>
      </w:r>
    </w:p>
    <w:p w14:paraId="238309BC" w14:textId="77777777" w:rsidR="00E35B96" w:rsidRPr="009A7987" w:rsidRDefault="00E35B96" w:rsidP="00E35B96">
      <w:pPr>
        <w:pStyle w:val="ListParagraph"/>
        <w:numPr>
          <w:ilvl w:val="0"/>
          <w:numId w:val="7"/>
        </w:numPr>
        <w:spacing w:after="0"/>
        <w:ind w:left="1440"/>
        <w:rPr>
          <w:rFonts w:eastAsiaTheme="minorEastAsia"/>
          <w:i/>
          <w:iCs/>
          <w:color w:val="3A7C22" w:themeColor="accent6" w:themeShade="BF"/>
          <w:lang w:val="en-IE"/>
        </w:rPr>
      </w:pPr>
      <w:proofErr w:type="gramStart"/>
      <w:r w:rsidRPr="009A7987">
        <w:rPr>
          <w:rFonts w:eastAsiaTheme="minorEastAsia"/>
          <w:i/>
          <w:iCs/>
          <w:color w:val="3A7C22" w:themeColor="accent6" w:themeShade="BF"/>
          <w:lang w:val="en-IE"/>
        </w:rPr>
        <w:t>Format :</w:t>
      </w:r>
      <w:proofErr w:type="gramEnd"/>
      <w:r w:rsidRPr="009A7987">
        <w:rPr>
          <w:rFonts w:eastAsiaTheme="minorEastAsia"/>
          <w:i/>
          <w:iCs/>
          <w:color w:val="3A7C22" w:themeColor="accent6" w:themeShade="BF"/>
          <w:lang w:val="en-IE"/>
        </w:rPr>
        <w:t xml:space="preserve"> YYYY-MM-DD HH24:mm:ss</w:t>
      </w:r>
    </w:p>
    <w:p w14:paraId="7519327B" w14:textId="77777777" w:rsidR="00E35B96" w:rsidRPr="009A7987" w:rsidRDefault="00E35B96" w:rsidP="00E35B96">
      <w:pPr>
        <w:pStyle w:val="ListParagraph"/>
        <w:numPr>
          <w:ilvl w:val="0"/>
          <w:numId w:val="3"/>
        </w:numPr>
        <w:spacing w:after="0"/>
        <w:rPr>
          <w:rFonts w:eastAsiaTheme="minorEastAsia"/>
          <w:i/>
          <w:iCs/>
          <w:color w:val="3A7C22" w:themeColor="accent6" w:themeShade="BF"/>
        </w:rPr>
      </w:pPr>
      <w:r w:rsidRPr="009A7987">
        <w:rPr>
          <w:rFonts w:eastAsiaTheme="minorEastAsia"/>
          <w:i/>
          <w:iCs/>
          <w:color w:val="3A7C22" w:themeColor="accent6" w:themeShade="BF"/>
        </w:rPr>
        <w:t>Durée de l’événement</w:t>
      </w:r>
    </w:p>
    <w:p w14:paraId="62B299EF" w14:textId="77777777" w:rsidR="00E35B96" w:rsidRPr="009A7987" w:rsidRDefault="00E35B96" w:rsidP="00E35B96">
      <w:pPr>
        <w:pStyle w:val="ListParagraph"/>
        <w:numPr>
          <w:ilvl w:val="0"/>
          <w:numId w:val="3"/>
        </w:numPr>
        <w:spacing w:after="0"/>
        <w:rPr>
          <w:rFonts w:eastAsiaTheme="minorEastAsia"/>
          <w:i/>
          <w:iCs/>
          <w:color w:val="3A7C22" w:themeColor="accent6" w:themeShade="BF"/>
        </w:rPr>
      </w:pPr>
      <w:r w:rsidRPr="009A7987">
        <w:rPr>
          <w:rFonts w:eastAsiaTheme="minorEastAsia"/>
          <w:i/>
          <w:iCs/>
          <w:color w:val="3A7C22" w:themeColor="accent6" w:themeShade="BF"/>
        </w:rPr>
        <w:t>Identifiant de l’antenne ayant traité l’événement pour l’utilisateur</w:t>
      </w:r>
    </w:p>
    <w:p w14:paraId="78C84C66" w14:textId="77777777" w:rsidR="00E35B96" w:rsidRPr="009A7987" w:rsidRDefault="00E35B96" w:rsidP="00E35B96">
      <w:pPr>
        <w:pStyle w:val="ListParagraph"/>
        <w:numPr>
          <w:ilvl w:val="0"/>
          <w:numId w:val="7"/>
        </w:numPr>
        <w:spacing w:after="0"/>
        <w:ind w:left="1440"/>
        <w:rPr>
          <w:rFonts w:eastAsiaTheme="minorEastAsia"/>
          <w:i/>
          <w:iCs/>
          <w:color w:val="3A7C22" w:themeColor="accent6" w:themeShade="BF"/>
        </w:rPr>
      </w:pPr>
      <w:r w:rsidRPr="009A7987">
        <w:rPr>
          <w:rFonts w:eastAsiaTheme="minorEastAsia"/>
          <w:i/>
          <w:iCs/>
          <w:color w:val="3A7C22" w:themeColor="accent6" w:themeShade="BF"/>
        </w:rPr>
        <w:t>Format</w:t>
      </w:r>
      <w:r>
        <w:rPr>
          <w:rFonts w:eastAsiaTheme="minorEastAsia"/>
          <w:i/>
          <w:iCs/>
          <w:color w:val="3A7C22" w:themeColor="accent6" w:themeShade="BF"/>
        </w:rPr>
        <w:t> :</w:t>
      </w:r>
      <w:r w:rsidRPr="009A7987">
        <w:rPr>
          <w:rFonts w:eastAsiaTheme="minorEastAsia"/>
          <w:i/>
          <w:iCs/>
          <w:color w:val="3A7C22" w:themeColor="accent6" w:themeShade="BF"/>
        </w:rPr>
        <w:t xml:space="preserve"> Location Area Code (LAC) + </w:t>
      </w:r>
      <w:proofErr w:type="spellStart"/>
      <w:r w:rsidRPr="009A7987">
        <w:rPr>
          <w:rFonts w:eastAsiaTheme="minorEastAsia"/>
          <w:i/>
          <w:iCs/>
          <w:color w:val="3A7C22" w:themeColor="accent6" w:themeShade="BF"/>
        </w:rPr>
        <w:t>Cell</w:t>
      </w:r>
      <w:proofErr w:type="spellEnd"/>
      <w:r w:rsidRPr="009A7987">
        <w:rPr>
          <w:rFonts w:eastAsiaTheme="minorEastAsia"/>
          <w:i/>
          <w:iCs/>
          <w:color w:val="3A7C22" w:themeColor="accent6" w:themeShade="BF"/>
        </w:rPr>
        <w:t xml:space="preserve"> ID</w:t>
      </w:r>
    </w:p>
    <w:p w14:paraId="3727D872" w14:textId="77777777" w:rsidR="00E35B96" w:rsidRPr="009A7987" w:rsidRDefault="00E35B96" w:rsidP="00E35B96">
      <w:pPr>
        <w:pStyle w:val="ListParagraph"/>
        <w:numPr>
          <w:ilvl w:val="0"/>
          <w:numId w:val="2"/>
        </w:numPr>
        <w:spacing w:after="0"/>
        <w:rPr>
          <w:rFonts w:eastAsiaTheme="minorEastAsia"/>
          <w:i/>
          <w:iCs/>
          <w:color w:val="3A7C22" w:themeColor="accent6" w:themeShade="BF"/>
        </w:rPr>
      </w:pPr>
      <w:r w:rsidRPr="009A7987">
        <w:rPr>
          <w:rFonts w:eastAsiaTheme="minorEastAsia"/>
          <w:i/>
          <w:iCs/>
          <w:color w:val="3A7C22" w:themeColor="accent6" w:themeShade="BF"/>
        </w:rPr>
        <w:t>Type d’événement</w:t>
      </w:r>
    </w:p>
    <w:p w14:paraId="0EA75CC4" w14:textId="77777777" w:rsidR="00E35B96" w:rsidRPr="009A7987" w:rsidRDefault="00E35B96" w:rsidP="00E35B96">
      <w:pPr>
        <w:pStyle w:val="ListParagraph"/>
        <w:numPr>
          <w:ilvl w:val="0"/>
          <w:numId w:val="7"/>
        </w:numPr>
        <w:spacing w:after="0"/>
        <w:ind w:left="1440"/>
        <w:rPr>
          <w:rFonts w:eastAsiaTheme="minorEastAsia"/>
          <w:i/>
          <w:iCs/>
          <w:color w:val="3A7C22" w:themeColor="accent6" w:themeShade="BF"/>
        </w:rPr>
      </w:pPr>
      <w:r w:rsidRPr="009A7987">
        <w:rPr>
          <w:rFonts w:eastAsiaTheme="minorEastAsia"/>
          <w:i/>
          <w:iCs/>
          <w:color w:val="3A7C22" w:themeColor="accent6" w:themeShade="BF"/>
        </w:rPr>
        <w:t xml:space="preserve">Appel, SMS, ou Data </w:t>
      </w:r>
    </w:p>
    <w:p w14:paraId="459E8C64" w14:textId="77777777" w:rsidR="00E35B96" w:rsidRPr="009A7987" w:rsidRDefault="00E35B96" w:rsidP="00E35B96">
      <w:pPr>
        <w:pStyle w:val="ListParagraph"/>
        <w:numPr>
          <w:ilvl w:val="0"/>
          <w:numId w:val="1"/>
        </w:numPr>
        <w:spacing w:after="0"/>
        <w:rPr>
          <w:rFonts w:eastAsiaTheme="minorEastAsia"/>
          <w:i/>
          <w:iCs/>
          <w:color w:val="3A7C22" w:themeColor="accent6" w:themeShade="BF"/>
        </w:rPr>
      </w:pPr>
      <w:r w:rsidRPr="009A7987">
        <w:rPr>
          <w:rFonts w:eastAsiaTheme="minorEastAsia"/>
          <w:i/>
          <w:iCs/>
          <w:color w:val="3A7C22" w:themeColor="accent6" w:themeShade="BF"/>
        </w:rPr>
        <w:t>Technologie</w:t>
      </w:r>
    </w:p>
    <w:p w14:paraId="6E7CB337" w14:textId="77777777" w:rsidR="00E35B96" w:rsidRPr="009A7987" w:rsidRDefault="00E35B96" w:rsidP="00E35B96">
      <w:pPr>
        <w:pStyle w:val="ListParagraph"/>
        <w:numPr>
          <w:ilvl w:val="0"/>
          <w:numId w:val="7"/>
        </w:numPr>
        <w:spacing w:after="0"/>
        <w:ind w:left="1440"/>
        <w:rPr>
          <w:rFonts w:eastAsiaTheme="minorEastAsia"/>
          <w:i/>
          <w:iCs/>
          <w:color w:val="3A7C22" w:themeColor="accent6" w:themeShade="BF"/>
        </w:rPr>
      </w:pPr>
      <w:r w:rsidRPr="009A7987">
        <w:rPr>
          <w:rFonts w:eastAsiaTheme="minorEastAsia"/>
          <w:i/>
          <w:iCs/>
          <w:color w:val="3A7C22" w:themeColor="accent6" w:themeShade="BF"/>
        </w:rPr>
        <w:t>2G, 3G, 4G, LTE, 5G]</w:t>
      </w:r>
    </w:p>
    <w:p w14:paraId="3A28F939" w14:textId="77777777" w:rsidR="00C51A56" w:rsidRPr="00C07753" w:rsidRDefault="00C51A56" w:rsidP="00C51A56">
      <w:r w:rsidRPr="00C07753">
        <w:br w:type="page"/>
      </w:r>
    </w:p>
    <w:p w14:paraId="0DE5CB4C" w14:textId="03896492" w:rsidR="00E35B96" w:rsidRPr="00240CAC" w:rsidRDefault="00E35B96" w:rsidP="00E35B96">
      <w:pPr>
        <w:pStyle w:val="Title"/>
        <w:spacing w:after="240"/>
        <w:jc w:val="left"/>
      </w:pPr>
      <w:r w:rsidRPr="00240CAC">
        <w:lastRenderedPageBreak/>
        <w:t>Annexe 3</w:t>
      </w:r>
      <w:r>
        <w:t> :</w:t>
      </w:r>
      <w:r w:rsidRPr="00240CAC">
        <w:t xml:space="preserve"> liste des personnes préautorisées pour l’accès au serveur de </w:t>
      </w:r>
      <w:r w:rsidRPr="00240CAC">
        <w:rPr>
          <w:i/>
          <w:iCs/>
          <w:color w:val="BF4E14" w:themeColor="accent2" w:themeShade="BF"/>
        </w:rPr>
        <w:t>[</w:t>
      </w:r>
      <w:r>
        <w:rPr>
          <w:i/>
          <w:iCs/>
          <w:color w:val="BF4E14" w:themeColor="accent2" w:themeShade="BF"/>
        </w:rPr>
        <w:t>OTM 1</w:t>
      </w:r>
      <w:r w:rsidRPr="00240CAC">
        <w:rPr>
          <w:i/>
          <w:iCs/>
          <w:color w:val="BF4E14" w:themeColor="accent2" w:themeShade="BF"/>
        </w:rPr>
        <w:t>]</w:t>
      </w:r>
    </w:p>
    <w:tbl>
      <w:tblPr>
        <w:tblStyle w:val="TableGrid"/>
        <w:tblW w:w="0" w:type="auto"/>
        <w:tblLook w:val="04A0" w:firstRow="1" w:lastRow="0" w:firstColumn="1" w:lastColumn="0" w:noHBand="0" w:noVBand="1"/>
      </w:tblPr>
      <w:tblGrid>
        <w:gridCol w:w="1870"/>
        <w:gridCol w:w="1870"/>
        <w:gridCol w:w="1870"/>
        <w:gridCol w:w="1870"/>
        <w:gridCol w:w="1870"/>
      </w:tblGrid>
      <w:tr w:rsidR="00E35B96" w:rsidRPr="00240CAC" w14:paraId="17D74648" w14:textId="77777777" w:rsidTr="00584147">
        <w:tc>
          <w:tcPr>
            <w:tcW w:w="1870" w:type="dxa"/>
            <w:vAlign w:val="center"/>
          </w:tcPr>
          <w:p w14:paraId="43B4E4B2" w14:textId="77777777" w:rsidR="00E35B96" w:rsidRPr="00240CAC" w:rsidRDefault="00E35B96" w:rsidP="00584147">
            <w:pPr>
              <w:jc w:val="center"/>
              <w:rPr>
                <w:b/>
                <w:bCs/>
              </w:rPr>
            </w:pPr>
            <w:r w:rsidRPr="00240CAC">
              <w:rPr>
                <w:b/>
                <w:bCs/>
              </w:rPr>
              <w:t>Prénom</w:t>
            </w:r>
          </w:p>
        </w:tc>
        <w:tc>
          <w:tcPr>
            <w:tcW w:w="1870" w:type="dxa"/>
            <w:vAlign w:val="center"/>
          </w:tcPr>
          <w:p w14:paraId="0DB66273" w14:textId="77777777" w:rsidR="00E35B96" w:rsidRPr="00240CAC" w:rsidRDefault="00E35B96" w:rsidP="00584147">
            <w:pPr>
              <w:jc w:val="center"/>
              <w:rPr>
                <w:b/>
                <w:bCs/>
              </w:rPr>
            </w:pPr>
            <w:r w:rsidRPr="00240CAC">
              <w:rPr>
                <w:b/>
                <w:bCs/>
              </w:rPr>
              <w:t>Nom</w:t>
            </w:r>
          </w:p>
        </w:tc>
        <w:tc>
          <w:tcPr>
            <w:tcW w:w="1870" w:type="dxa"/>
            <w:vAlign w:val="center"/>
          </w:tcPr>
          <w:p w14:paraId="28EB8AD4" w14:textId="77777777" w:rsidR="00E35B96" w:rsidRPr="00240CAC" w:rsidRDefault="00E35B96" w:rsidP="00584147">
            <w:pPr>
              <w:jc w:val="center"/>
              <w:rPr>
                <w:b/>
                <w:bCs/>
              </w:rPr>
            </w:pPr>
            <w:r w:rsidRPr="00240CAC">
              <w:rPr>
                <w:b/>
                <w:bCs/>
              </w:rPr>
              <w:t>Institution</w:t>
            </w:r>
          </w:p>
        </w:tc>
        <w:tc>
          <w:tcPr>
            <w:tcW w:w="1870" w:type="dxa"/>
            <w:vAlign w:val="center"/>
          </w:tcPr>
          <w:p w14:paraId="6F39B191" w14:textId="77777777" w:rsidR="00E35B96" w:rsidRPr="00240CAC" w:rsidRDefault="00E35B96" w:rsidP="00584147">
            <w:pPr>
              <w:jc w:val="center"/>
              <w:rPr>
                <w:b/>
                <w:bCs/>
              </w:rPr>
            </w:pPr>
            <w:r w:rsidRPr="00240CAC">
              <w:rPr>
                <w:b/>
                <w:bCs/>
              </w:rPr>
              <w:t>Titre</w:t>
            </w:r>
          </w:p>
        </w:tc>
        <w:tc>
          <w:tcPr>
            <w:tcW w:w="1870" w:type="dxa"/>
            <w:vAlign w:val="center"/>
          </w:tcPr>
          <w:p w14:paraId="135DFD9E" w14:textId="77777777" w:rsidR="00E35B96" w:rsidRPr="00240CAC" w:rsidRDefault="00E35B96" w:rsidP="00584147">
            <w:pPr>
              <w:jc w:val="center"/>
              <w:rPr>
                <w:b/>
                <w:bCs/>
              </w:rPr>
            </w:pPr>
            <w:r w:rsidRPr="00240CAC">
              <w:rPr>
                <w:b/>
                <w:bCs/>
              </w:rPr>
              <w:t>Restrictions d’accès</w:t>
            </w:r>
          </w:p>
        </w:tc>
      </w:tr>
      <w:tr w:rsidR="00E35B96" w:rsidRPr="00240CAC" w14:paraId="395B37B5" w14:textId="77777777" w:rsidTr="00584147">
        <w:tc>
          <w:tcPr>
            <w:tcW w:w="1870" w:type="dxa"/>
          </w:tcPr>
          <w:p w14:paraId="38AFEE41" w14:textId="77777777" w:rsidR="00E35B96" w:rsidRPr="00240CAC" w:rsidRDefault="00E35B96" w:rsidP="00584147">
            <w:r w:rsidRPr="00240CAC">
              <w:t>...</w:t>
            </w:r>
          </w:p>
        </w:tc>
        <w:tc>
          <w:tcPr>
            <w:tcW w:w="1870" w:type="dxa"/>
          </w:tcPr>
          <w:p w14:paraId="505412FF" w14:textId="77777777" w:rsidR="00E35B96" w:rsidRPr="00240CAC" w:rsidRDefault="00E35B96" w:rsidP="00584147">
            <w:r w:rsidRPr="00240CAC">
              <w:t>...</w:t>
            </w:r>
          </w:p>
        </w:tc>
        <w:tc>
          <w:tcPr>
            <w:tcW w:w="1870" w:type="dxa"/>
          </w:tcPr>
          <w:p w14:paraId="4469A33E" w14:textId="77777777" w:rsidR="00E35B96" w:rsidRPr="00240CAC" w:rsidRDefault="00E35B96" w:rsidP="00584147">
            <w:r w:rsidRPr="00240CAC">
              <w:t>...</w:t>
            </w:r>
          </w:p>
        </w:tc>
        <w:tc>
          <w:tcPr>
            <w:tcW w:w="1870" w:type="dxa"/>
          </w:tcPr>
          <w:p w14:paraId="23A85CDD" w14:textId="77777777" w:rsidR="00E35B96" w:rsidRPr="00240CAC" w:rsidRDefault="00E35B96" w:rsidP="00584147">
            <w:r w:rsidRPr="00240CAC">
              <w:t>...</w:t>
            </w:r>
          </w:p>
        </w:tc>
        <w:tc>
          <w:tcPr>
            <w:tcW w:w="1870" w:type="dxa"/>
          </w:tcPr>
          <w:p w14:paraId="0CFF4DE0" w14:textId="77777777" w:rsidR="00E35B96" w:rsidRPr="00240CAC" w:rsidRDefault="00E35B96" w:rsidP="00584147">
            <w:r w:rsidRPr="00240CAC">
              <w:t>...</w:t>
            </w:r>
          </w:p>
        </w:tc>
      </w:tr>
      <w:tr w:rsidR="00E35B96" w:rsidRPr="00240CAC" w14:paraId="58E5F612" w14:textId="77777777" w:rsidTr="00584147">
        <w:tc>
          <w:tcPr>
            <w:tcW w:w="1870" w:type="dxa"/>
          </w:tcPr>
          <w:p w14:paraId="7B74F078" w14:textId="77777777" w:rsidR="00E35B96" w:rsidRPr="00240CAC" w:rsidRDefault="00E35B96" w:rsidP="00584147"/>
        </w:tc>
        <w:tc>
          <w:tcPr>
            <w:tcW w:w="1870" w:type="dxa"/>
          </w:tcPr>
          <w:p w14:paraId="503A2401" w14:textId="77777777" w:rsidR="00E35B96" w:rsidRPr="00240CAC" w:rsidRDefault="00E35B96" w:rsidP="00584147"/>
        </w:tc>
        <w:tc>
          <w:tcPr>
            <w:tcW w:w="1870" w:type="dxa"/>
          </w:tcPr>
          <w:p w14:paraId="6184104E" w14:textId="77777777" w:rsidR="00E35B96" w:rsidRPr="00240CAC" w:rsidRDefault="00E35B96" w:rsidP="00584147"/>
        </w:tc>
        <w:tc>
          <w:tcPr>
            <w:tcW w:w="1870" w:type="dxa"/>
          </w:tcPr>
          <w:p w14:paraId="2272674A" w14:textId="77777777" w:rsidR="00E35B96" w:rsidRPr="00240CAC" w:rsidRDefault="00E35B96" w:rsidP="00584147"/>
        </w:tc>
        <w:tc>
          <w:tcPr>
            <w:tcW w:w="1870" w:type="dxa"/>
          </w:tcPr>
          <w:p w14:paraId="19F14B64" w14:textId="77777777" w:rsidR="00E35B96" w:rsidRPr="00240CAC" w:rsidRDefault="00E35B96" w:rsidP="00584147"/>
        </w:tc>
      </w:tr>
      <w:tr w:rsidR="00E35B96" w:rsidRPr="00240CAC" w14:paraId="08318959" w14:textId="77777777" w:rsidTr="00584147">
        <w:tc>
          <w:tcPr>
            <w:tcW w:w="1870" w:type="dxa"/>
          </w:tcPr>
          <w:p w14:paraId="091DF9F8" w14:textId="77777777" w:rsidR="00E35B96" w:rsidRPr="00240CAC" w:rsidRDefault="00E35B96" w:rsidP="00584147"/>
        </w:tc>
        <w:tc>
          <w:tcPr>
            <w:tcW w:w="1870" w:type="dxa"/>
          </w:tcPr>
          <w:p w14:paraId="5E0B4202" w14:textId="77777777" w:rsidR="00E35B96" w:rsidRPr="00240CAC" w:rsidRDefault="00E35B96" w:rsidP="00584147"/>
        </w:tc>
        <w:tc>
          <w:tcPr>
            <w:tcW w:w="1870" w:type="dxa"/>
          </w:tcPr>
          <w:p w14:paraId="70F0394A" w14:textId="77777777" w:rsidR="00E35B96" w:rsidRPr="00240CAC" w:rsidRDefault="00E35B96" w:rsidP="00584147"/>
        </w:tc>
        <w:tc>
          <w:tcPr>
            <w:tcW w:w="1870" w:type="dxa"/>
          </w:tcPr>
          <w:p w14:paraId="4AD2C1AB" w14:textId="77777777" w:rsidR="00E35B96" w:rsidRPr="00240CAC" w:rsidRDefault="00E35B96" w:rsidP="00584147"/>
        </w:tc>
        <w:tc>
          <w:tcPr>
            <w:tcW w:w="1870" w:type="dxa"/>
          </w:tcPr>
          <w:p w14:paraId="125CABA5" w14:textId="77777777" w:rsidR="00E35B96" w:rsidRPr="00240CAC" w:rsidRDefault="00E35B96" w:rsidP="00584147"/>
        </w:tc>
      </w:tr>
      <w:tr w:rsidR="00E35B96" w:rsidRPr="00240CAC" w14:paraId="3C0AA82E" w14:textId="77777777" w:rsidTr="00584147">
        <w:tc>
          <w:tcPr>
            <w:tcW w:w="1870" w:type="dxa"/>
          </w:tcPr>
          <w:p w14:paraId="6F6EDBD8" w14:textId="77777777" w:rsidR="00E35B96" w:rsidRPr="00240CAC" w:rsidRDefault="00E35B96" w:rsidP="00584147"/>
        </w:tc>
        <w:tc>
          <w:tcPr>
            <w:tcW w:w="1870" w:type="dxa"/>
          </w:tcPr>
          <w:p w14:paraId="0AF4D65F" w14:textId="77777777" w:rsidR="00E35B96" w:rsidRPr="00240CAC" w:rsidRDefault="00E35B96" w:rsidP="00584147"/>
        </w:tc>
        <w:tc>
          <w:tcPr>
            <w:tcW w:w="1870" w:type="dxa"/>
          </w:tcPr>
          <w:p w14:paraId="6DD0B960" w14:textId="77777777" w:rsidR="00E35B96" w:rsidRPr="00240CAC" w:rsidRDefault="00E35B96" w:rsidP="00584147"/>
        </w:tc>
        <w:tc>
          <w:tcPr>
            <w:tcW w:w="1870" w:type="dxa"/>
          </w:tcPr>
          <w:p w14:paraId="7B6480EC" w14:textId="77777777" w:rsidR="00E35B96" w:rsidRPr="00240CAC" w:rsidRDefault="00E35B96" w:rsidP="00584147"/>
        </w:tc>
        <w:tc>
          <w:tcPr>
            <w:tcW w:w="1870" w:type="dxa"/>
          </w:tcPr>
          <w:p w14:paraId="59B2D10C" w14:textId="77777777" w:rsidR="00E35B96" w:rsidRPr="00240CAC" w:rsidRDefault="00E35B96" w:rsidP="00584147"/>
        </w:tc>
      </w:tr>
      <w:tr w:rsidR="00E35B96" w:rsidRPr="00240CAC" w14:paraId="5FF253C0" w14:textId="77777777" w:rsidTr="00584147">
        <w:tc>
          <w:tcPr>
            <w:tcW w:w="1870" w:type="dxa"/>
          </w:tcPr>
          <w:p w14:paraId="7FE2B8FC" w14:textId="77777777" w:rsidR="00E35B96" w:rsidRPr="00240CAC" w:rsidRDefault="00E35B96" w:rsidP="00584147"/>
        </w:tc>
        <w:tc>
          <w:tcPr>
            <w:tcW w:w="1870" w:type="dxa"/>
          </w:tcPr>
          <w:p w14:paraId="37DF984E" w14:textId="77777777" w:rsidR="00E35B96" w:rsidRPr="00240CAC" w:rsidRDefault="00E35B96" w:rsidP="00584147"/>
        </w:tc>
        <w:tc>
          <w:tcPr>
            <w:tcW w:w="1870" w:type="dxa"/>
          </w:tcPr>
          <w:p w14:paraId="17E2AC73" w14:textId="77777777" w:rsidR="00E35B96" w:rsidRPr="00240CAC" w:rsidRDefault="00E35B96" w:rsidP="00584147"/>
        </w:tc>
        <w:tc>
          <w:tcPr>
            <w:tcW w:w="1870" w:type="dxa"/>
          </w:tcPr>
          <w:p w14:paraId="6DFE6F86" w14:textId="77777777" w:rsidR="00E35B96" w:rsidRPr="00240CAC" w:rsidRDefault="00E35B96" w:rsidP="00584147"/>
        </w:tc>
        <w:tc>
          <w:tcPr>
            <w:tcW w:w="1870" w:type="dxa"/>
          </w:tcPr>
          <w:p w14:paraId="550946EA" w14:textId="77777777" w:rsidR="00E35B96" w:rsidRPr="00240CAC" w:rsidRDefault="00E35B96" w:rsidP="00584147"/>
        </w:tc>
      </w:tr>
      <w:tr w:rsidR="00E35B96" w:rsidRPr="00240CAC" w14:paraId="59344B23" w14:textId="77777777" w:rsidTr="00584147">
        <w:tc>
          <w:tcPr>
            <w:tcW w:w="1870" w:type="dxa"/>
          </w:tcPr>
          <w:p w14:paraId="6E83D74C" w14:textId="77777777" w:rsidR="00E35B96" w:rsidRPr="00240CAC" w:rsidRDefault="00E35B96" w:rsidP="00584147"/>
        </w:tc>
        <w:tc>
          <w:tcPr>
            <w:tcW w:w="1870" w:type="dxa"/>
          </w:tcPr>
          <w:p w14:paraId="52E763B0" w14:textId="77777777" w:rsidR="00E35B96" w:rsidRPr="00240CAC" w:rsidRDefault="00E35B96" w:rsidP="00584147"/>
        </w:tc>
        <w:tc>
          <w:tcPr>
            <w:tcW w:w="1870" w:type="dxa"/>
          </w:tcPr>
          <w:p w14:paraId="11E83221" w14:textId="77777777" w:rsidR="00E35B96" w:rsidRPr="00240CAC" w:rsidRDefault="00E35B96" w:rsidP="00584147"/>
        </w:tc>
        <w:tc>
          <w:tcPr>
            <w:tcW w:w="1870" w:type="dxa"/>
          </w:tcPr>
          <w:p w14:paraId="13D7D1A4" w14:textId="77777777" w:rsidR="00E35B96" w:rsidRPr="00240CAC" w:rsidRDefault="00E35B96" w:rsidP="00584147"/>
        </w:tc>
        <w:tc>
          <w:tcPr>
            <w:tcW w:w="1870" w:type="dxa"/>
          </w:tcPr>
          <w:p w14:paraId="59923627" w14:textId="77777777" w:rsidR="00E35B96" w:rsidRPr="00240CAC" w:rsidRDefault="00E35B96" w:rsidP="00584147"/>
        </w:tc>
      </w:tr>
      <w:tr w:rsidR="00E35B96" w:rsidRPr="00240CAC" w14:paraId="4BB5AE67" w14:textId="77777777" w:rsidTr="00584147">
        <w:tc>
          <w:tcPr>
            <w:tcW w:w="1870" w:type="dxa"/>
          </w:tcPr>
          <w:p w14:paraId="463356CE" w14:textId="77777777" w:rsidR="00E35B96" w:rsidRPr="00240CAC" w:rsidRDefault="00E35B96" w:rsidP="00584147"/>
        </w:tc>
        <w:tc>
          <w:tcPr>
            <w:tcW w:w="1870" w:type="dxa"/>
          </w:tcPr>
          <w:p w14:paraId="3A95F58D" w14:textId="77777777" w:rsidR="00E35B96" w:rsidRPr="00240CAC" w:rsidRDefault="00E35B96" w:rsidP="00584147"/>
        </w:tc>
        <w:tc>
          <w:tcPr>
            <w:tcW w:w="1870" w:type="dxa"/>
          </w:tcPr>
          <w:p w14:paraId="25F9FE76" w14:textId="77777777" w:rsidR="00E35B96" w:rsidRPr="00240CAC" w:rsidRDefault="00E35B96" w:rsidP="00584147"/>
        </w:tc>
        <w:tc>
          <w:tcPr>
            <w:tcW w:w="1870" w:type="dxa"/>
          </w:tcPr>
          <w:p w14:paraId="02A3BF5A" w14:textId="77777777" w:rsidR="00E35B96" w:rsidRPr="00240CAC" w:rsidRDefault="00E35B96" w:rsidP="00584147"/>
        </w:tc>
        <w:tc>
          <w:tcPr>
            <w:tcW w:w="1870" w:type="dxa"/>
          </w:tcPr>
          <w:p w14:paraId="5EF081F0" w14:textId="77777777" w:rsidR="00E35B96" w:rsidRPr="00240CAC" w:rsidRDefault="00E35B96" w:rsidP="00584147"/>
        </w:tc>
      </w:tr>
    </w:tbl>
    <w:p w14:paraId="13F08A93" w14:textId="77777777" w:rsidR="00E35B96" w:rsidRPr="0005654F" w:rsidRDefault="00E35B96" w:rsidP="00E35B96">
      <w:pPr>
        <w:spacing w:before="240" w:after="0"/>
      </w:pPr>
    </w:p>
    <w:p w14:paraId="0B83B6D3" w14:textId="4CC3665D" w:rsidR="005651C5" w:rsidRPr="00C07753" w:rsidRDefault="005651C5">
      <w:pPr>
        <w:spacing w:after="160" w:line="259" w:lineRule="auto"/>
        <w:jc w:val="left"/>
      </w:pPr>
      <w:r w:rsidRPr="00C07753">
        <w:br w:type="page"/>
      </w:r>
    </w:p>
    <w:p w14:paraId="34C825E5" w14:textId="1BFF9AB5" w:rsidR="00E35B96" w:rsidRPr="001B42C6" w:rsidRDefault="00E35B96" w:rsidP="00E35B96">
      <w:pPr>
        <w:pStyle w:val="Title"/>
        <w:jc w:val="left"/>
      </w:pPr>
      <w:r w:rsidRPr="001B42C6">
        <w:lastRenderedPageBreak/>
        <w:t xml:space="preserve">Annexe </w:t>
      </w:r>
      <w:r>
        <w:t>3</w:t>
      </w:r>
      <w:r w:rsidRPr="001B42C6">
        <w:t> : Exigences minimales de sécurité</w:t>
      </w:r>
    </w:p>
    <w:p w14:paraId="7D628147" w14:textId="77777777" w:rsidR="00E35B96" w:rsidRPr="001B42C6" w:rsidRDefault="00E35B96" w:rsidP="00E35B96">
      <w:pPr>
        <w:rPr>
          <w:i/>
          <w:iCs/>
          <w:color w:val="3A7C22" w:themeColor="accent6" w:themeShade="BF"/>
        </w:rPr>
      </w:pPr>
      <w:r w:rsidRPr="001B42C6">
        <w:rPr>
          <w:i/>
          <w:iCs/>
          <w:color w:val="3A7C22" w:themeColor="accent6" w:themeShade="BF"/>
          <w:u w:val="single"/>
        </w:rPr>
        <w:t>Exemple :</w:t>
      </w:r>
    </w:p>
    <w:p w14:paraId="47067EBF" w14:textId="77777777" w:rsidR="00E35B96" w:rsidRPr="001B42C6" w:rsidRDefault="00E35B96" w:rsidP="00E35B96">
      <w:pPr>
        <w:rPr>
          <w:i/>
          <w:iCs/>
          <w:color w:val="3A7C22" w:themeColor="accent6" w:themeShade="BF"/>
        </w:rPr>
      </w:pPr>
      <w:r w:rsidRPr="001B42C6">
        <w:rPr>
          <w:b/>
          <w:bCs/>
          <w:i/>
          <w:iCs/>
          <w:color w:val="3A7C22" w:themeColor="accent6" w:themeShade="BF"/>
        </w:rPr>
        <w:t>Sécurité du réseau</w:t>
      </w:r>
      <w:r>
        <w:rPr>
          <w:b/>
          <w:bCs/>
          <w:i/>
          <w:iCs/>
          <w:color w:val="3A7C22" w:themeColor="accent6" w:themeShade="BF"/>
        </w:rPr>
        <w:t> :</w:t>
      </w:r>
    </w:p>
    <w:p w14:paraId="5F394C43"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Utiliser le dernier système d'exploitation avec tous les patchs de sécurité appliqués.</w:t>
      </w:r>
    </w:p>
    <w:p w14:paraId="342F8F3E"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Mettre en place des règles de pare-feu permettant uniquement le trafic essentiel.</w:t>
      </w:r>
    </w:p>
    <w:p w14:paraId="1F96FC64"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Déployer des systèmes de détection et de prévention des intrusions (IDS/IPS) pour surveiller et bloquer toute activité suspecte.</w:t>
      </w:r>
    </w:p>
    <w:p w14:paraId="7E5D4B03" w14:textId="77777777" w:rsidR="00E35B96" w:rsidRPr="001B42C6" w:rsidRDefault="00E35B96" w:rsidP="00E35B96">
      <w:pPr>
        <w:rPr>
          <w:i/>
          <w:iCs/>
          <w:color w:val="3A7C22" w:themeColor="accent6" w:themeShade="BF"/>
        </w:rPr>
      </w:pPr>
      <w:r w:rsidRPr="001B42C6">
        <w:rPr>
          <w:b/>
          <w:bCs/>
          <w:i/>
          <w:iCs/>
          <w:color w:val="3A7C22" w:themeColor="accent6" w:themeShade="BF"/>
        </w:rPr>
        <w:t>Contrôle d'accès et authentification</w:t>
      </w:r>
      <w:r>
        <w:rPr>
          <w:b/>
          <w:bCs/>
          <w:i/>
          <w:iCs/>
          <w:color w:val="3A7C22" w:themeColor="accent6" w:themeShade="BF"/>
        </w:rPr>
        <w:t> :</w:t>
      </w:r>
    </w:p>
    <w:p w14:paraId="5C13A541"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Appliquer des politiques de mot de passe strictes (longueur, complexité, expiration) et l’authentification multi-facteurs (MFA) pour tous les comptes privilégiés.</w:t>
      </w:r>
    </w:p>
    <w:p w14:paraId="78B78F7E"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Utiliser un contrôle d'accès basé sur les rôles (RBAC) pour gérer efficacement les autorisations des utilisateurs.</w:t>
      </w:r>
    </w:p>
    <w:p w14:paraId="3508CFA8"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Réviser régulièrement les comptes inactifs ou inutiles et les révoquer si nécessaire.</w:t>
      </w:r>
    </w:p>
    <w:p w14:paraId="2E1335AD" w14:textId="77777777" w:rsidR="00E35B96" w:rsidRPr="001B42C6" w:rsidRDefault="00E35B96" w:rsidP="00E35B96">
      <w:pPr>
        <w:rPr>
          <w:b/>
          <w:bCs/>
          <w:i/>
          <w:iCs/>
          <w:color w:val="3A7C22" w:themeColor="accent6" w:themeShade="BF"/>
        </w:rPr>
      </w:pPr>
      <w:r w:rsidRPr="001B42C6">
        <w:rPr>
          <w:b/>
          <w:bCs/>
          <w:i/>
          <w:iCs/>
          <w:color w:val="3A7C22" w:themeColor="accent6" w:themeShade="BF"/>
        </w:rPr>
        <w:t>Chiffrement et protection des données</w:t>
      </w:r>
      <w:r>
        <w:rPr>
          <w:b/>
          <w:bCs/>
          <w:i/>
          <w:iCs/>
          <w:color w:val="3A7C22" w:themeColor="accent6" w:themeShade="BF"/>
        </w:rPr>
        <w:t> :</w:t>
      </w:r>
    </w:p>
    <w:p w14:paraId="31FEF8ED"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Chiffrer les données au repos à l’aide d’algorithmes de chiffrement conformes aux standards de l'industrie (ex. : AES-256).</w:t>
      </w:r>
    </w:p>
    <w:p w14:paraId="1DA07617"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Sécuriser les données en transit avec TLS 1.2 ou une version ultérieure pour éviter toute interception.</w:t>
      </w:r>
    </w:p>
    <w:p w14:paraId="2FDF099A"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Renouveler régulièrement les clés de chiffrement et les stocker dans un module de sécurité matériel (HSM) sécurisé.</w:t>
      </w:r>
    </w:p>
    <w:p w14:paraId="1A802A18" w14:textId="77777777" w:rsidR="00E35B96" w:rsidRPr="001B42C6" w:rsidRDefault="00E35B96" w:rsidP="00E35B96">
      <w:pPr>
        <w:rPr>
          <w:b/>
          <w:bCs/>
          <w:i/>
          <w:iCs/>
          <w:color w:val="3A7C22" w:themeColor="accent6" w:themeShade="BF"/>
        </w:rPr>
      </w:pPr>
      <w:r w:rsidRPr="001B42C6">
        <w:rPr>
          <w:b/>
          <w:bCs/>
          <w:i/>
          <w:iCs/>
          <w:color w:val="3A7C22" w:themeColor="accent6" w:themeShade="BF"/>
        </w:rPr>
        <w:t>Journalisation, surveillance et réponse aux incidents</w:t>
      </w:r>
      <w:r>
        <w:rPr>
          <w:b/>
          <w:bCs/>
          <w:i/>
          <w:iCs/>
          <w:color w:val="3A7C22" w:themeColor="accent6" w:themeShade="BF"/>
        </w:rPr>
        <w:t> :</w:t>
      </w:r>
    </w:p>
    <w:p w14:paraId="41DBA9B2"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Activer une journalisation détaillée de tous les accès et modifications.</w:t>
      </w:r>
    </w:p>
    <w:p w14:paraId="2309D660"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Utiliser une gestion centralisée des journaux (ex. : solutions SIEM).</w:t>
      </w:r>
    </w:p>
    <w:p w14:paraId="4B71EA01"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Mettre en place une surveillance en temps réel avec des alertes en cas d'activités suspectes.</w:t>
      </w:r>
    </w:p>
    <w:p w14:paraId="6C2B0CFD"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Élaborer et tester régulièrement un plan de réponse aux incidents pour gérer efficacement les violations de sécurité.</w:t>
      </w:r>
    </w:p>
    <w:p w14:paraId="4A9E43F0" w14:textId="77777777" w:rsidR="00E35B96" w:rsidRPr="001B42C6" w:rsidRDefault="00E35B96" w:rsidP="00E35B96">
      <w:pPr>
        <w:rPr>
          <w:b/>
          <w:bCs/>
          <w:i/>
          <w:iCs/>
          <w:color w:val="3A7C22" w:themeColor="accent6" w:themeShade="BF"/>
        </w:rPr>
      </w:pPr>
      <w:r w:rsidRPr="001B42C6">
        <w:rPr>
          <w:b/>
          <w:bCs/>
          <w:i/>
          <w:iCs/>
          <w:color w:val="3A7C22" w:themeColor="accent6" w:themeShade="BF"/>
        </w:rPr>
        <w:t>Sécurité physique</w:t>
      </w:r>
      <w:r>
        <w:rPr>
          <w:b/>
          <w:bCs/>
          <w:i/>
          <w:iCs/>
          <w:color w:val="3A7C22" w:themeColor="accent6" w:themeShade="BF"/>
        </w:rPr>
        <w:t> :</w:t>
      </w:r>
    </w:p>
    <w:p w14:paraId="34A13C1C"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Restreindre l'accès physique à la salle des serveurs/centre de données via un contrôle biométrique, une carte-clé ou un code PIN.</w:t>
      </w:r>
    </w:p>
    <w:p w14:paraId="288BC38F"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Assurer des contrôles environnementaux appropriés (température, humidité) pour protéger l’intégrité du matériel.</w:t>
      </w:r>
    </w:p>
    <w:p w14:paraId="14DA0012" w14:textId="77777777" w:rsidR="00E35B96" w:rsidRPr="001B42C6" w:rsidRDefault="00E35B96" w:rsidP="00E35B96">
      <w:pPr>
        <w:rPr>
          <w:b/>
          <w:bCs/>
          <w:i/>
          <w:iCs/>
          <w:color w:val="3A7C22" w:themeColor="accent6" w:themeShade="BF"/>
        </w:rPr>
      </w:pPr>
      <w:r w:rsidRPr="001B42C6">
        <w:rPr>
          <w:b/>
          <w:bCs/>
          <w:i/>
          <w:iCs/>
          <w:color w:val="3A7C22" w:themeColor="accent6" w:themeShade="BF"/>
        </w:rPr>
        <w:t>Sauvegarde sécurisée et reprise après sinistre</w:t>
      </w:r>
      <w:r>
        <w:rPr>
          <w:b/>
          <w:bCs/>
          <w:i/>
          <w:iCs/>
          <w:color w:val="3A7C22" w:themeColor="accent6" w:themeShade="BF"/>
        </w:rPr>
        <w:t> :</w:t>
      </w:r>
    </w:p>
    <w:p w14:paraId="0A417215"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t>Maintenir des sauvegardes régulières et chiffrées stockées dans un emplacement distinct.</w:t>
      </w:r>
    </w:p>
    <w:p w14:paraId="0BC2444F" w14:textId="77777777" w:rsidR="00E35B96" w:rsidRPr="001B42C6" w:rsidRDefault="00E35B96" w:rsidP="00E35B96">
      <w:pPr>
        <w:pStyle w:val="ListParagraph"/>
        <w:numPr>
          <w:ilvl w:val="0"/>
          <w:numId w:val="1"/>
        </w:numPr>
        <w:rPr>
          <w:i/>
          <w:iCs/>
          <w:color w:val="3A7C22" w:themeColor="accent6" w:themeShade="BF"/>
        </w:rPr>
      </w:pPr>
      <w:r w:rsidRPr="001B42C6">
        <w:rPr>
          <w:i/>
          <w:iCs/>
          <w:color w:val="3A7C22" w:themeColor="accent6" w:themeShade="BF"/>
        </w:rPr>
        <w:lastRenderedPageBreak/>
        <w:t>Tester régulièrement les plans de reprise après sinistre.</w:t>
      </w:r>
    </w:p>
    <w:p w14:paraId="478814C0" w14:textId="6F75890B" w:rsidR="0018393D" w:rsidRPr="00E35B96" w:rsidRDefault="00E35B96" w:rsidP="00E35B96">
      <w:pPr>
        <w:pStyle w:val="ListParagraph"/>
        <w:numPr>
          <w:ilvl w:val="0"/>
          <w:numId w:val="1"/>
        </w:numPr>
        <w:rPr>
          <w:i/>
          <w:iCs/>
          <w:color w:val="3A7C22" w:themeColor="accent6" w:themeShade="BF"/>
        </w:rPr>
      </w:pPr>
      <w:r w:rsidRPr="001B42C6">
        <w:rPr>
          <w:i/>
          <w:iCs/>
          <w:color w:val="3A7C22" w:themeColor="accent6" w:themeShade="BF"/>
        </w:rPr>
        <w:t>Mettre en œuvre des sauvegardes immuables pour se protéger contre les attaques par ransomware</w:t>
      </w:r>
    </w:p>
    <w:sectPr w:rsidR="0018393D" w:rsidRPr="00E35B96" w:rsidSect="00CB5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EADC" w14:textId="77777777" w:rsidR="000552A5" w:rsidRPr="00E81A99" w:rsidRDefault="000552A5" w:rsidP="00791E9E">
      <w:pPr>
        <w:spacing w:after="0" w:line="240" w:lineRule="auto"/>
      </w:pPr>
      <w:r w:rsidRPr="00E81A99">
        <w:separator/>
      </w:r>
    </w:p>
  </w:endnote>
  <w:endnote w:type="continuationSeparator" w:id="0">
    <w:p w14:paraId="6D0A2045" w14:textId="77777777" w:rsidR="000552A5" w:rsidRPr="00E81A99" w:rsidRDefault="000552A5" w:rsidP="00791E9E">
      <w:pPr>
        <w:spacing w:after="0" w:line="240" w:lineRule="auto"/>
      </w:pPr>
      <w:r w:rsidRPr="00E81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1D9C" w14:textId="77777777" w:rsidR="000552A5" w:rsidRPr="00E81A99" w:rsidRDefault="000552A5" w:rsidP="00791E9E">
      <w:pPr>
        <w:spacing w:after="0" w:line="240" w:lineRule="auto"/>
      </w:pPr>
      <w:r w:rsidRPr="00E81A99">
        <w:separator/>
      </w:r>
    </w:p>
  </w:footnote>
  <w:footnote w:type="continuationSeparator" w:id="0">
    <w:p w14:paraId="3A99DC6D" w14:textId="77777777" w:rsidR="000552A5" w:rsidRPr="00E81A99" w:rsidRDefault="000552A5" w:rsidP="00791E9E">
      <w:pPr>
        <w:spacing w:after="0" w:line="240" w:lineRule="auto"/>
      </w:pPr>
      <w:r w:rsidRPr="00E81A9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7771"/>
    <w:multiLevelType w:val="hybridMultilevel"/>
    <w:tmpl w:val="A2205652"/>
    <w:lvl w:ilvl="0" w:tplc="E384F74E">
      <w:start w:val="1"/>
      <w:numFmt w:val="bullet"/>
      <w:lvlText w:val="-"/>
      <w:lvlJc w:val="left"/>
      <w:pPr>
        <w:ind w:left="720" w:hanging="360"/>
      </w:pPr>
      <w:rPr>
        <w:rFonts w:ascii="Aptos" w:hAnsi="Aptos" w:hint="default"/>
      </w:rPr>
    </w:lvl>
    <w:lvl w:ilvl="1" w:tplc="FAC058B6">
      <w:start w:val="1"/>
      <w:numFmt w:val="bullet"/>
      <w:lvlText w:val="o"/>
      <w:lvlJc w:val="left"/>
      <w:pPr>
        <w:ind w:left="1440" w:hanging="360"/>
      </w:pPr>
      <w:rPr>
        <w:rFonts w:ascii="Courier New" w:hAnsi="Courier New" w:hint="default"/>
      </w:rPr>
    </w:lvl>
    <w:lvl w:ilvl="2" w:tplc="93BE67B0">
      <w:start w:val="1"/>
      <w:numFmt w:val="bullet"/>
      <w:lvlText w:val=""/>
      <w:lvlJc w:val="left"/>
      <w:pPr>
        <w:ind w:left="2160" w:hanging="360"/>
      </w:pPr>
      <w:rPr>
        <w:rFonts w:ascii="Wingdings" w:hAnsi="Wingdings" w:hint="default"/>
      </w:rPr>
    </w:lvl>
    <w:lvl w:ilvl="3" w:tplc="451484FA">
      <w:start w:val="1"/>
      <w:numFmt w:val="bullet"/>
      <w:lvlText w:val=""/>
      <w:lvlJc w:val="left"/>
      <w:pPr>
        <w:ind w:left="2880" w:hanging="360"/>
      </w:pPr>
      <w:rPr>
        <w:rFonts w:ascii="Symbol" w:hAnsi="Symbol" w:hint="default"/>
      </w:rPr>
    </w:lvl>
    <w:lvl w:ilvl="4" w:tplc="DB50128C">
      <w:start w:val="1"/>
      <w:numFmt w:val="bullet"/>
      <w:lvlText w:val="o"/>
      <w:lvlJc w:val="left"/>
      <w:pPr>
        <w:ind w:left="3600" w:hanging="360"/>
      </w:pPr>
      <w:rPr>
        <w:rFonts w:ascii="Courier New" w:hAnsi="Courier New" w:hint="default"/>
      </w:rPr>
    </w:lvl>
    <w:lvl w:ilvl="5" w:tplc="F1DACD40">
      <w:start w:val="1"/>
      <w:numFmt w:val="bullet"/>
      <w:lvlText w:val=""/>
      <w:lvlJc w:val="left"/>
      <w:pPr>
        <w:ind w:left="4320" w:hanging="360"/>
      </w:pPr>
      <w:rPr>
        <w:rFonts w:ascii="Wingdings" w:hAnsi="Wingdings" w:hint="default"/>
      </w:rPr>
    </w:lvl>
    <w:lvl w:ilvl="6" w:tplc="9D52D848">
      <w:start w:val="1"/>
      <w:numFmt w:val="bullet"/>
      <w:lvlText w:val=""/>
      <w:lvlJc w:val="left"/>
      <w:pPr>
        <w:ind w:left="5040" w:hanging="360"/>
      </w:pPr>
      <w:rPr>
        <w:rFonts w:ascii="Symbol" w:hAnsi="Symbol" w:hint="default"/>
      </w:rPr>
    </w:lvl>
    <w:lvl w:ilvl="7" w:tplc="C8944E58">
      <w:start w:val="1"/>
      <w:numFmt w:val="bullet"/>
      <w:lvlText w:val="o"/>
      <w:lvlJc w:val="left"/>
      <w:pPr>
        <w:ind w:left="5760" w:hanging="360"/>
      </w:pPr>
      <w:rPr>
        <w:rFonts w:ascii="Courier New" w:hAnsi="Courier New" w:hint="default"/>
      </w:rPr>
    </w:lvl>
    <w:lvl w:ilvl="8" w:tplc="01DE1502">
      <w:start w:val="1"/>
      <w:numFmt w:val="bullet"/>
      <w:lvlText w:val=""/>
      <w:lvlJc w:val="left"/>
      <w:pPr>
        <w:ind w:left="6480" w:hanging="360"/>
      </w:pPr>
      <w:rPr>
        <w:rFonts w:ascii="Wingdings" w:hAnsi="Wingdings" w:hint="default"/>
      </w:rPr>
    </w:lvl>
  </w:abstractNum>
  <w:abstractNum w:abstractNumId="1" w15:restartNumberingAfterBreak="0">
    <w:nsid w:val="0F68371A"/>
    <w:multiLevelType w:val="hybridMultilevel"/>
    <w:tmpl w:val="4F66950E"/>
    <w:lvl w:ilvl="0" w:tplc="A20E6BA6">
      <w:start w:val="1"/>
      <w:numFmt w:val="bullet"/>
      <w:lvlText w:val="-"/>
      <w:lvlJc w:val="left"/>
      <w:pPr>
        <w:tabs>
          <w:tab w:val="num" w:pos="720"/>
        </w:tabs>
        <w:ind w:left="720" w:hanging="360"/>
      </w:pPr>
      <w:rPr>
        <w:rFonts w:ascii="Aptos" w:hAnsi="Aptos" w:hint="default"/>
      </w:rPr>
    </w:lvl>
    <w:lvl w:ilvl="1" w:tplc="190E78CE" w:tentative="1">
      <w:start w:val="1"/>
      <w:numFmt w:val="bullet"/>
      <w:lvlText w:val="-"/>
      <w:lvlJc w:val="left"/>
      <w:pPr>
        <w:tabs>
          <w:tab w:val="num" w:pos="1440"/>
        </w:tabs>
        <w:ind w:left="1440" w:hanging="360"/>
      </w:pPr>
      <w:rPr>
        <w:rFonts w:ascii="Aptos" w:hAnsi="Aptos" w:hint="default"/>
      </w:rPr>
    </w:lvl>
    <w:lvl w:ilvl="2" w:tplc="D7B24A6E" w:tentative="1">
      <w:start w:val="1"/>
      <w:numFmt w:val="bullet"/>
      <w:lvlText w:val="-"/>
      <w:lvlJc w:val="left"/>
      <w:pPr>
        <w:tabs>
          <w:tab w:val="num" w:pos="2160"/>
        </w:tabs>
        <w:ind w:left="2160" w:hanging="360"/>
      </w:pPr>
      <w:rPr>
        <w:rFonts w:ascii="Aptos" w:hAnsi="Aptos" w:hint="default"/>
      </w:rPr>
    </w:lvl>
    <w:lvl w:ilvl="3" w:tplc="B20CE5BA" w:tentative="1">
      <w:start w:val="1"/>
      <w:numFmt w:val="bullet"/>
      <w:lvlText w:val="-"/>
      <w:lvlJc w:val="left"/>
      <w:pPr>
        <w:tabs>
          <w:tab w:val="num" w:pos="2880"/>
        </w:tabs>
        <w:ind w:left="2880" w:hanging="360"/>
      </w:pPr>
      <w:rPr>
        <w:rFonts w:ascii="Aptos" w:hAnsi="Aptos" w:hint="default"/>
      </w:rPr>
    </w:lvl>
    <w:lvl w:ilvl="4" w:tplc="B6406C64" w:tentative="1">
      <w:start w:val="1"/>
      <w:numFmt w:val="bullet"/>
      <w:lvlText w:val="-"/>
      <w:lvlJc w:val="left"/>
      <w:pPr>
        <w:tabs>
          <w:tab w:val="num" w:pos="3600"/>
        </w:tabs>
        <w:ind w:left="3600" w:hanging="360"/>
      </w:pPr>
      <w:rPr>
        <w:rFonts w:ascii="Aptos" w:hAnsi="Aptos" w:hint="default"/>
      </w:rPr>
    </w:lvl>
    <w:lvl w:ilvl="5" w:tplc="D1CAAAB0" w:tentative="1">
      <w:start w:val="1"/>
      <w:numFmt w:val="bullet"/>
      <w:lvlText w:val="-"/>
      <w:lvlJc w:val="left"/>
      <w:pPr>
        <w:tabs>
          <w:tab w:val="num" w:pos="4320"/>
        </w:tabs>
        <w:ind w:left="4320" w:hanging="360"/>
      </w:pPr>
      <w:rPr>
        <w:rFonts w:ascii="Aptos" w:hAnsi="Aptos" w:hint="default"/>
      </w:rPr>
    </w:lvl>
    <w:lvl w:ilvl="6" w:tplc="BB02AF5C" w:tentative="1">
      <w:start w:val="1"/>
      <w:numFmt w:val="bullet"/>
      <w:lvlText w:val="-"/>
      <w:lvlJc w:val="left"/>
      <w:pPr>
        <w:tabs>
          <w:tab w:val="num" w:pos="5040"/>
        </w:tabs>
        <w:ind w:left="5040" w:hanging="360"/>
      </w:pPr>
      <w:rPr>
        <w:rFonts w:ascii="Aptos" w:hAnsi="Aptos" w:hint="default"/>
      </w:rPr>
    </w:lvl>
    <w:lvl w:ilvl="7" w:tplc="016016F8" w:tentative="1">
      <w:start w:val="1"/>
      <w:numFmt w:val="bullet"/>
      <w:lvlText w:val="-"/>
      <w:lvlJc w:val="left"/>
      <w:pPr>
        <w:tabs>
          <w:tab w:val="num" w:pos="5760"/>
        </w:tabs>
        <w:ind w:left="5760" w:hanging="360"/>
      </w:pPr>
      <w:rPr>
        <w:rFonts w:ascii="Aptos" w:hAnsi="Aptos" w:hint="default"/>
      </w:rPr>
    </w:lvl>
    <w:lvl w:ilvl="8" w:tplc="8C144742" w:tentative="1">
      <w:start w:val="1"/>
      <w:numFmt w:val="bullet"/>
      <w:lvlText w:val="-"/>
      <w:lvlJc w:val="left"/>
      <w:pPr>
        <w:tabs>
          <w:tab w:val="num" w:pos="6480"/>
        </w:tabs>
        <w:ind w:left="6480" w:hanging="360"/>
      </w:pPr>
      <w:rPr>
        <w:rFonts w:ascii="Aptos" w:hAnsi="Aptos" w:hint="default"/>
      </w:rPr>
    </w:lvl>
  </w:abstractNum>
  <w:abstractNum w:abstractNumId="2" w15:restartNumberingAfterBreak="0">
    <w:nsid w:val="10CA5584"/>
    <w:multiLevelType w:val="multilevel"/>
    <w:tmpl w:val="6ADABE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991D79"/>
    <w:multiLevelType w:val="hybridMultilevel"/>
    <w:tmpl w:val="B6EC32AC"/>
    <w:lvl w:ilvl="0" w:tplc="6C9C048E">
      <w:start w:val="1"/>
      <w:numFmt w:val="bullet"/>
      <w:lvlText w:val="-"/>
      <w:lvlJc w:val="left"/>
      <w:pPr>
        <w:ind w:left="720" w:hanging="360"/>
      </w:pPr>
      <w:rPr>
        <w:rFonts w:ascii="Aptos" w:hAnsi="Aptos" w:hint="default"/>
      </w:rPr>
    </w:lvl>
    <w:lvl w:ilvl="1" w:tplc="F35EF5A8">
      <w:start w:val="1"/>
      <w:numFmt w:val="bullet"/>
      <w:lvlText w:val="o"/>
      <w:lvlJc w:val="left"/>
      <w:pPr>
        <w:ind w:left="1440" w:hanging="360"/>
      </w:pPr>
      <w:rPr>
        <w:rFonts w:ascii="Courier New" w:hAnsi="Courier New" w:hint="default"/>
      </w:rPr>
    </w:lvl>
    <w:lvl w:ilvl="2" w:tplc="E5662F54">
      <w:start w:val="1"/>
      <w:numFmt w:val="bullet"/>
      <w:lvlText w:val=""/>
      <w:lvlJc w:val="left"/>
      <w:pPr>
        <w:ind w:left="2160" w:hanging="360"/>
      </w:pPr>
      <w:rPr>
        <w:rFonts w:ascii="Wingdings" w:hAnsi="Wingdings" w:hint="default"/>
      </w:rPr>
    </w:lvl>
    <w:lvl w:ilvl="3" w:tplc="3A6E1608">
      <w:start w:val="1"/>
      <w:numFmt w:val="bullet"/>
      <w:lvlText w:val=""/>
      <w:lvlJc w:val="left"/>
      <w:pPr>
        <w:ind w:left="2880" w:hanging="360"/>
      </w:pPr>
      <w:rPr>
        <w:rFonts w:ascii="Symbol" w:hAnsi="Symbol" w:hint="default"/>
      </w:rPr>
    </w:lvl>
    <w:lvl w:ilvl="4" w:tplc="9126D9B6">
      <w:start w:val="1"/>
      <w:numFmt w:val="bullet"/>
      <w:lvlText w:val="o"/>
      <w:lvlJc w:val="left"/>
      <w:pPr>
        <w:ind w:left="3600" w:hanging="360"/>
      </w:pPr>
      <w:rPr>
        <w:rFonts w:ascii="Courier New" w:hAnsi="Courier New" w:hint="default"/>
      </w:rPr>
    </w:lvl>
    <w:lvl w:ilvl="5" w:tplc="C7D6F11A">
      <w:start w:val="1"/>
      <w:numFmt w:val="bullet"/>
      <w:lvlText w:val=""/>
      <w:lvlJc w:val="left"/>
      <w:pPr>
        <w:ind w:left="4320" w:hanging="360"/>
      </w:pPr>
      <w:rPr>
        <w:rFonts w:ascii="Wingdings" w:hAnsi="Wingdings" w:hint="default"/>
      </w:rPr>
    </w:lvl>
    <w:lvl w:ilvl="6" w:tplc="F1DE80F4">
      <w:start w:val="1"/>
      <w:numFmt w:val="bullet"/>
      <w:lvlText w:val=""/>
      <w:lvlJc w:val="left"/>
      <w:pPr>
        <w:ind w:left="5040" w:hanging="360"/>
      </w:pPr>
      <w:rPr>
        <w:rFonts w:ascii="Symbol" w:hAnsi="Symbol" w:hint="default"/>
      </w:rPr>
    </w:lvl>
    <w:lvl w:ilvl="7" w:tplc="83C0C4AA">
      <w:start w:val="1"/>
      <w:numFmt w:val="bullet"/>
      <w:lvlText w:val="o"/>
      <w:lvlJc w:val="left"/>
      <w:pPr>
        <w:ind w:left="5760" w:hanging="360"/>
      </w:pPr>
      <w:rPr>
        <w:rFonts w:ascii="Courier New" w:hAnsi="Courier New" w:hint="default"/>
      </w:rPr>
    </w:lvl>
    <w:lvl w:ilvl="8" w:tplc="3F843F66">
      <w:start w:val="1"/>
      <w:numFmt w:val="bullet"/>
      <w:lvlText w:val=""/>
      <w:lvlJc w:val="left"/>
      <w:pPr>
        <w:ind w:left="6480" w:hanging="360"/>
      </w:pPr>
      <w:rPr>
        <w:rFonts w:ascii="Wingdings" w:hAnsi="Wingdings" w:hint="default"/>
      </w:rPr>
    </w:lvl>
  </w:abstractNum>
  <w:abstractNum w:abstractNumId="4" w15:restartNumberingAfterBreak="0">
    <w:nsid w:val="1CD25A5F"/>
    <w:multiLevelType w:val="hybridMultilevel"/>
    <w:tmpl w:val="79A67498"/>
    <w:lvl w:ilvl="0" w:tplc="1066988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95B336"/>
    <w:multiLevelType w:val="hybridMultilevel"/>
    <w:tmpl w:val="9A6C8D38"/>
    <w:lvl w:ilvl="0" w:tplc="0D84E65E">
      <w:start w:val="1"/>
      <w:numFmt w:val="bullet"/>
      <w:lvlText w:val=""/>
      <w:lvlJc w:val="left"/>
      <w:pPr>
        <w:ind w:left="720" w:hanging="360"/>
      </w:pPr>
      <w:rPr>
        <w:rFonts w:ascii="Symbol" w:hAnsi="Symbol" w:hint="default"/>
      </w:rPr>
    </w:lvl>
    <w:lvl w:ilvl="1" w:tplc="41D62A44">
      <w:start w:val="1"/>
      <w:numFmt w:val="decimal"/>
      <w:lvlText w:val="%2)"/>
      <w:lvlJc w:val="left"/>
      <w:pPr>
        <w:ind w:left="1440" w:hanging="360"/>
      </w:pPr>
    </w:lvl>
    <w:lvl w:ilvl="2" w:tplc="F200A806">
      <w:start w:val="1"/>
      <w:numFmt w:val="bullet"/>
      <w:lvlText w:val=""/>
      <w:lvlJc w:val="left"/>
      <w:pPr>
        <w:ind w:left="2160" w:hanging="180"/>
      </w:pPr>
      <w:rPr>
        <w:rFonts w:ascii="Symbol" w:hAnsi="Symbol" w:hint="default"/>
      </w:rPr>
    </w:lvl>
    <w:lvl w:ilvl="3" w:tplc="8A50B152">
      <w:start w:val="1"/>
      <w:numFmt w:val="decimal"/>
      <w:lvlText w:val="%4."/>
      <w:lvlJc w:val="left"/>
      <w:pPr>
        <w:ind w:left="2880" w:hanging="360"/>
      </w:pPr>
    </w:lvl>
    <w:lvl w:ilvl="4" w:tplc="2FECC700">
      <w:start w:val="1"/>
      <w:numFmt w:val="lowerLetter"/>
      <w:lvlText w:val="%5."/>
      <w:lvlJc w:val="left"/>
      <w:pPr>
        <w:ind w:left="3600" w:hanging="360"/>
      </w:pPr>
    </w:lvl>
    <w:lvl w:ilvl="5" w:tplc="DB0E4144">
      <w:start w:val="1"/>
      <w:numFmt w:val="lowerRoman"/>
      <w:lvlText w:val="%6."/>
      <w:lvlJc w:val="right"/>
      <w:pPr>
        <w:ind w:left="4320" w:hanging="180"/>
      </w:pPr>
    </w:lvl>
    <w:lvl w:ilvl="6" w:tplc="525AD4E2">
      <w:start w:val="1"/>
      <w:numFmt w:val="decimal"/>
      <w:lvlText w:val="%7."/>
      <w:lvlJc w:val="left"/>
      <w:pPr>
        <w:ind w:left="5040" w:hanging="360"/>
      </w:pPr>
    </w:lvl>
    <w:lvl w:ilvl="7" w:tplc="62F483F6">
      <w:start w:val="1"/>
      <w:numFmt w:val="lowerLetter"/>
      <w:lvlText w:val="%8."/>
      <w:lvlJc w:val="left"/>
      <w:pPr>
        <w:ind w:left="5760" w:hanging="360"/>
      </w:pPr>
    </w:lvl>
    <w:lvl w:ilvl="8" w:tplc="E3CCAB7A">
      <w:start w:val="1"/>
      <w:numFmt w:val="lowerRoman"/>
      <w:lvlText w:val="%9."/>
      <w:lvlJc w:val="right"/>
      <w:pPr>
        <w:ind w:left="6480" w:hanging="180"/>
      </w:pPr>
    </w:lvl>
  </w:abstractNum>
  <w:abstractNum w:abstractNumId="6" w15:restartNumberingAfterBreak="0">
    <w:nsid w:val="24E34959"/>
    <w:multiLevelType w:val="hybridMultilevel"/>
    <w:tmpl w:val="CB8650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8ED7247"/>
    <w:multiLevelType w:val="hybridMultilevel"/>
    <w:tmpl w:val="8ABA9D74"/>
    <w:lvl w:ilvl="0" w:tplc="F1D64A6E">
      <w:start w:val="1"/>
      <w:numFmt w:val="bullet"/>
      <w:lvlText w:val="-"/>
      <w:lvlJc w:val="left"/>
      <w:pPr>
        <w:ind w:left="720" w:hanging="360"/>
      </w:pPr>
      <w:rPr>
        <w:rFonts w:ascii="Aptos" w:hAnsi="Aptos" w:hint="default"/>
      </w:rPr>
    </w:lvl>
    <w:lvl w:ilvl="1" w:tplc="F208B640">
      <w:start w:val="1"/>
      <w:numFmt w:val="bullet"/>
      <w:lvlText w:val="o"/>
      <w:lvlJc w:val="left"/>
      <w:pPr>
        <w:ind w:left="1440" w:hanging="360"/>
      </w:pPr>
      <w:rPr>
        <w:rFonts w:ascii="Courier New" w:hAnsi="Courier New" w:hint="default"/>
      </w:rPr>
    </w:lvl>
    <w:lvl w:ilvl="2" w:tplc="5394CA20">
      <w:start w:val="1"/>
      <w:numFmt w:val="bullet"/>
      <w:lvlText w:val=""/>
      <w:lvlJc w:val="left"/>
      <w:pPr>
        <w:ind w:left="2160" w:hanging="360"/>
      </w:pPr>
      <w:rPr>
        <w:rFonts w:ascii="Wingdings" w:hAnsi="Wingdings" w:hint="default"/>
      </w:rPr>
    </w:lvl>
    <w:lvl w:ilvl="3" w:tplc="E516FB7C">
      <w:start w:val="1"/>
      <w:numFmt w:val="bullet"/>
      <w:lvlText w:val=""/>
      <w:lvlJc w:val="left"/>
      <w:pPr>
        <w:ind w:left="2880" w:hanging="360"/>
      </w:pPr>
      <w:rPr>
        <w:rFonts w:ascii="Symbol" w:hAnsi="Symbol" w:hint="default"/>
      </w:rPr>
    </w:lvl>
    <w:lvl w:ilvl="4" w:tplc="7CDC84CE">
      <w:start w:val="1"/>
      <w:numFmt w:val="bullet"/>
      <w:lvlText w:val="o"/>
      <w:lvlJc w:val="left"/>
      <w:pPr>
        <w:ind w:left="3600" w:hanging="360"/>
      </w:pPr>
      <w:rPr>
        <w:rFonts w:ascii="Courier New" w:hAnsi="Courier New" w:hint="default"/>
      </w:rPr>
    </w:lvl>
    <w:lvl w:ilvl="5" w:tplc="468E385E">
      <w:start w:val="1"/>
      <w:numFmt w:val="bullet"/>
      <w:lvlText w:val=""/>
      <w:lvlJc w:val="left"/>
      <w:pPr>
        <w:ind w:left="4320" w:hanging="360"/>
      </w:pPr>
      <w:rPr>
        <w:rFonts w:ascii="Wingdings" w:hAnsi="Wingdings" w:hint="default"/>
      </w:rPr>
    </w:lvl>
    <w:lvl w:ilvl="6" w:tplc="D156891A">
      <w:start w:val="1"/>
      <w:numFmt w:val="bullet"/>
      <w:lvlText w:val=""/>
      <w:lvlJc w:val="left"/>
      <w:pPr>
        <w:ind w:left="5040" w:hanging="360"/>
      </w:pPr>
      <w:rPr>
        <w:rFonts w:ascii="Symbol" w:hAnsi="Symbol" w:hint="default"/>
      </w:rPr>
    </w:lvl>
    <w:lvl w:ilvl="7" w:tplc="4660474E">
      <w:start w:val="1"/>
      <w:numFmt w:val="bullet"/>
      <w:lvlText w:val="o"/>
      <w:lvlJc w:val="left"/>
      <w:pPr>
        <w:ind w:left="5760" w:hanging="360"/>
      </w:pPr>
      <w:rPr>
        <w:rFonts w:ascii="Courier New" w:hAnsi="Courier New" w:hint="default"/>
      </w:rPr>
    </w:lvl>
    <w:lvl w:ilvl="8" w:tplc="E4A8C636">
      <w:start w:val="1"/>
      <w:numFmt w:val="bullet"/>
      <w:lvlText w:val=""/>
      <w:lvlJc w:val="left"/>
      <w:pPr>
        <w:ind w:left="6480" w:hanging="360"/>
      </w:pPr>
      <w:rPr>
        <w:rFonts w:ascii="Wingdings" w:hAnsi="Wingdings" w:hint="default"/>
      </w:rPr>
    </w:lvl>
  </w:abstractNum>
  <w:abstractNum w:abstractNumId="8" w15:restartNumberingAfterBreak="0">
    <w:nsid w:val="3BC061BF"/>
    <w:multiLevelType w:val="hybridMultilevel"/>
    <w:tmpl w:val="4C885C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E22309"/>
    <w:multiLevelType w:val="hybridMultilevel"/>
    <w:tmpl w:val="AD66D820"/>
    <w:lvl w:ilvl="0" w:tplc="FA68EE5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547165"/>
    <w:multiLevelType w:val="hybridMultilevel"/>
    <w:tmpl w:val="BD7E1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528EAB2"/>
    <w:multiLevelType w:val="hybridMultilevel"/>
    <w:tmpl w:val="ADDC7C6A"/>
    <w:lvl w:ilvl="0" w:tplc="9618AD0A">
      <w:start w:val="1"/>
      <w:numFmt w:val="bullet"/>
      <w:lvlText w:val="-"/>
      <w:lvlJc w:val="left"/>
      <w:pPr>
        <w:ind w:left="720" w:hanging="360"/>
      </w:pPr>
      <w:rPr>
        <w:rFonts w:ascii="Aptos" w:hAnsi="Aptos" w:hint="default"/>
      </w:rPr>
    </w:lvl>
    <w:lvl w:ilvl="1" w:tplc="EFCC26E8">
      <w:start w:val="1"/>
      <w:numFmt w:val="bullet"/>
      <w:lvlText w:val="o"/>
      <w:lvlJc w:val="left"/>
      <w:pPr>
        <w:ind w:left="1440" w:hanging="360"/>
      </w:pPr>
      <w:rPr>
        <w:rFonts w:ascii="Courier New" w:hAnsi="Courier New" w:hint="default"/>
      </w:rPr>
    </w:lvl>
    <w:lvl w:ilvl="2" w:tplc="1B32BB1C">
      <w:start w:val="1"/>
      <w:numFmt w:val="bullet"/>
      <w:lvlText w:val=""/>
      <w:lvlJc w:val="left"/>
      <w:pPr>
        <w:ind w:left="2160" w:hanging="360"/>
      </w:pPr>
      <w:rPr>
        <w:rFonts w:ascii="Wingdings" w:hAnsi="Wingdings" w:hint="default"/>
      </w:rPr>
    </w:lvl>
    <w:lvl w:ilvl="3" w:tplc="951E43DC">
      <w:start w:val="1"/>
      <w:numFmt w:val="bullet"/>
      <w:lvlText w:val=""/>
      <w:lvlJc w:val="left"/>
      <w:pPr>
        <w:ind w:left="2880" w:hanging="360"/>
      </w:pPr>
      <w:rPr>
        <w:rFonts w:ascii="Symbol" w:hAnsi="Symbol" w:hint="default"/>
      </w:rPr>
    </w:lvl>
    <w:lvl w:ilvl="4" w:tplc="CB064BD2">
      <w:start w:val="1"/>
      <w:numFmt w:val="bullet"/>
      <w:lvlText w:val="o"/>
      <w:lvlJc w:val="left"/>
      <w:pPr>
        <w:ind w:left="3600" w:hanging="360"/>
      </w:pPr>
      <w:rPr>
        <w:rFonts w:ascii="Courier New" w:hAnsi="Courier New" w:hint="default"/>
      </w:rPr>
    </w:lvl>
    <w:lvl w:ilvl="5" w:tplc="20443732">
      <w:start w:val="1"/>
      <w:numFmt w:val="bullet"/>
      <w:lvlText w:val=""/>
      <w:lvlJc w:val="left"/>
      <w:pPr>
        <w:ind w:left="4320" w:hanging="360"/>
      </w:pPr>
      <w:rPr>
        <w:rFonts w:ascii="Wingdings" w:hAnsi="Wingdings" w:hint="default"/>
      </w:rPr>
    </w:lvl>
    <w:lvl w:ilvl="6" w:tplc="03182234">
      <w:start w:val="1"/>
      <w:numFmt w:val="bullet"/>
      <w:lvlText w:val=""/>
      <w:lvlJc w:val="left"/>
      <w:pPr>
        <w:ind w:left="5040" w:hanging="360"/>
      </w:pPr>
      <w:rPr>
        <w:rFonts w:ascii="Symbol" w:hAnsi="Symbol" w:hint="default"/>
      </w:rPr>
    </w:lvl>
    <w:lvl w:ilvl="7" w:tplc="73E8E4A2">
      <w:start w:val="1"/>
      <w:numFmt w:val="bullet"/>
      <w:lvlText w:val="o"/>
      <w:lvlJc w:val="left"/>
      <w:pPr>
        <w:ind w:left="5760" w:hanging="360"/>
      </w:pPr>
      <w:rPr>
        <w:rFonts w:ascii="Courier New" w:hAnsi="Courier New" w:hint="default"/>
      </w:rPr>
    </w:lvl>
    <w:lvl w:ilvl="8" w:tplc="BD8E8028">
      <w:start w:val="1"/>
      <w:numFmt w:val="bullet"/>
      <w:lvlText w:val=""/>
      <w:lvlJc w:val="left"/>
      <w:pPr>
        <w:ind w:left="6480" w:hanging="360"/>
      </w:pPr>
      <w:rPr>
        <w:rFonts w:ascii="Wingdings" w:hAnsi="Wingdings" w:hint="default"/>
      </w:rPr>
    </w:lvl>
  </w:abstractNum>
  <w:abstractNum w:abstractNumId="12" w15:restartNumberingAfterBreak="0">
    <w:nsid w:val="5A1F8CFD"/>
    <w:multiLevelType w:val="hybridMultilevel"/>
    <w:tmpl w:val="774C296C"/>
    <w:lvl w:ilvl="0" w:tplc="70329794">
      <w:start w:val="1"/>
      <w:numFmt w:val="bullet"/>
      <w:lvlText w:val="-"/>
      <w:lvlJc w:val="left"/>
      <w:pPr>
        <w:ind w:left="720" w:hanging="360"/>
      </w:pPr>
      <w:rPr>
        <w:rFonts w:ascii="Aptos" w:hAnsi="Aptos" w:hint="default"/>
      </w:rPr>
    </w:lvl>
    <w:lvl w:ilvl="1" w:tplc="A1769656">
      <w:start w:val="1"/>
      <w:numFmt w:val="bullet"/>
      <w:lvlText w:val="o"/>
      <w:lvlJc w:val="left"/>
      <w:pPr>
        <w:ind w:left="1440" w:hanging="360"/>
      </w:pPr>
      <w:rPr>
        <w:rFonts w:ascii="Courier New" w:hAnsi="Courier New" w:hint="default"/>
      </w:rPr>
    </w:lvl>
    <w:lvl w:ilvl="2" w:tplc="ED8E193E">
      <w:start w:val="1"/>
      <w:numFmt w:val="bullet"/>
      <w:lvlText w:val=""/>
      <w:lvlJc w:val="left"/>
      <w:pPr>
        <w:ind w:left="2160" w:hanging="360"/>
      </w:pPr>
      <w:rPr>
        <w:rFonts w:ascii="Wingdings" w:hAnsi="Wingdings" w:hint="default"/>
      </w:rPr>
    </w:lvl>
    <w:lvl w:ilvl="3" w:tplc="D458C7A4">
      <w:start w:val="1"/>
      <w:numFmt w:val="bullet"/>
      <w:lvlText w:val=""/>
      <w:lvlJc w:val="left"/>
      <w:pPr>
        <w:ind w:left="2880" w:hanging="360"/>
      </w:pPr>
      <w:rPr>
        <w:rFonts w:ascii="Symbol" w:hAnsi="Symbol" w:hint="default"/>
      </w:rPr>
    </w:lvl>
    <w:lvl w:ilvl="4" w:tplc="7214E3B4">
      <w:start w:val="1"/>
      <w:numFmt w:val="bullet"/>
      <w:lvlText w:val="o"/>
      <w:lvlJc w:val="left"/>
      <w:pPr>
        <w:ind w:left="3600" w:hanging="360"/>
      </w:pPr>
      <w:rPr>
        <w:rFonts w:ascii="Courier New" w:hAnsi="Courier New" w:hint="default"/>
      </w:rPr>
    </w:lvl>
    <w:lvl w:ilvl="5" w:tplc="1D84D602">
      <w:start w:val="1"/>
      <w:numFmt w:val="bullet"/>
      <w:lvlText w:val=""/>
      <w:lvlJc w:val="left"/>
      <w:pPr>
        <w:ind w:left="4320" w:hanging="360"/>
      </w:pPr>
      <w:rPr>
        <w:rFonts w:ascii="Wingdings" w:hAnsi="Wingdings" w:hint="default"/>
      </w:rPr>
    </w:lvl>
    <w:lvl w:ilvl="6" w:tplc="CAC80B90">
      <w:start w:val="1"/>
      <w:numFmt w:val="bullet"/>
      <w:lvlText w:val=""/>
      <w:lvlJc w:val="left"/>
      <w:pPr>
        <w:ind w:left="5040" w:hanging="360"/>
      </w:pPr>
      <w:rPr>
        <w:rFonts w:ascii="Symbol" w:hAnsi="Symbol" w:hint="default"/>
      </w:rPr>
    </w:lvl>
    <w:lvl w:ilvl="7" w:tplc="0AAA8972">
      <w:start w:val="1"/>
      <w:numFmt w:val="bullet"/>
      <w:lvlText w:val="o"/>
      <w:lvlJc w:val="left"/>
      <w:pPr>
        <w:ind w:left="5760" w:hanging="360"/>
      </w:pPr>
      <w:rPr>
        <w:rFonts w:ascii="Courier New" w:hAnsi="Courier New" w:hint="default"/>
      </w:rPr>
    </w:lvl>
    <w:lvl w:ilvl="8" w:tplc="5B46FA1A">
      <w:start w:val="1"/>
      <w:numFmt w:val="bullet"/>
      <w:lvlText w:val=""/>
      <w:lvlJc w:val="left"/>
      <w:pPr>
        <w:ind w:left="6480" w:hanging="360"/>
      </w:pPr>
      <w:rPr>
        <w:rFonts w:ascii="Wingdings" w:hAnsi="Wingdings" w:hint="default"/>
      </w:rPr>
    </w:lvl>
  </w:abstractNum>
  <w:abstractNum w:abstractNumId="13" w15:restartNumberingAfterBreak="0">
    <w:nsid w:val="60770154"/>
    <w:multiLevelType w:val="hybridMultilevel"/>
    <w:tmpl w:val="5EBEF4F0"/>
    <w:lvl w:ilvl="0" w:tplc="1D20A392">
      <w:start w:val="1"/>
      <w:numFmt w:val="bullet"/>
      <w:lvlText w:val="-"/>
      <w:lvlJc w:val="left"/>
      <w:pPr>
        <w:tabs>
          <w:tab w:val="num" w:pos="720"/>
        </w:tabs>
        <w:ind w:left="720" w:hanging="360"/>
      </w:pPr>
      <w:rPr>
        <w:rFonts w:ascii="Aptos" w:hAnsi="Aptos" w:hint="default"/>
      </w:rPr>
    </w:lvl>
    <w:lvl w:ilvl="1" w:tplc="91AC0400" w:tentative="1">
      <w:start w:val="1"/>
      <w:numFmt w:val="bullet"/>
      <w:lvlText w:val="-"/>
      <w:lvlJc w:val="left"/>
      <w:pPr>
        <w:tabs>
          <w:tab w:val="num" w:pos="1440"/>
        </w:tabs>
        <w:ind w:left="1440" w:hanging="360"/>
      </w:pPr>
      <w:rPr>
        <w:rFonts w:ascii="Aptos" w:hAnsi="Aptos" w:hint="default"/>
      </w:rPr>
    </w:lvl>
    <w:lvl w:ilvl="2" w:tplc="CCA69D2E" w:tentative="1">
      <w:start w:val="1"/>
      <w:numFmt w:val="bullet"/>
      <w:lvlText w:val="-"/>
      <w:lvlJc w:val="left"/>
      <w:pPr>
        <w:tabs>
          <w:tab w:val="num" w:pos="2160"/>
        </w:tabs>
        <w:ind w:left="2160" w:hanging="360"/>
      </w:pPr>
      <w:rPr>
        <w:rFonts w:ascii="Aptos" w:hAnsi="Aptos" w:hint="default"/>
      </w:rPr>
    </w:lvl>
    <w:lvl w:ilvl="3" w:tplc="6F580B96" w:tentative="1">
      <w:start w:val="1"/>
      <w:numFmt w:val="bullet"/>
      <w:lvlText w:val="-"/>
      <w:lvlJc w:val="left"/>
      <w:pPr>
        <w:tabs>
          <w:tab w:val="num" w:pos="2880"/>
        </w:tabs>
        <w:ind w:left="2880" w:hanging="360"/>
      </w:pPr>
      <w:rPr>
        <w:rFonts w:ascii="Aptos" w:hAnsi="Aptos" w:hint="default"/>
      </w:rPr>
    </w:lvl>
    <w:lvl w:ilvl="4" w:tplc="C93461FC" w:tentative="1">
      <w:start w:val="1"/>
      <w:numFmt w:val="bullet"/>
      <w:lvlText w:val="-"/>
      <w:lvlJc w:val="left"/>
      <w:pPr>
        <w:tabs>
          <w:tab w:val="num" w:pos="3600"/>
        </w:tabs>
        <w:ind w:left="3600" w:hanging="360"/>
      </w:pPr>
      <w:rPr>
        <w:rFonts w:ascii="Aptos" w:hAnsi="Aptos" w:hint="default"/>
      </w:rPr>
    </w:lvl>
    <w:lvl w:ilvl="5" w:tplc="81E24D4C" w:tentative="1">
      <w:start w:val="1"/>
      <w:numFmt w:val="bullet"/>
      <w:lvlText w:val="-"/>
      <w:lvlJc w:val="left"/>
      <w:pPr>
        <w:tabs>
          <w:tab w:val="num" w:pos="4320"/>
        </w:tabs>
        <w:ind w:left="4320" w:hanging="360"/>
      </w:pPr>
      <w:rPr>
        <w:rFonts w:ascii="Aptos" w:hAnsi="Aptos" w:hint="default"/>
      </w:rPr>
    </w:lvl>
    <w:lvl w:ilvl="6" w:tplc="EF3EA9D0" w:tentative="1">
      <w:start w:val="1"/>
      <w:numFmt w:val="bullet"/>
      <w:lvlText w:val="-"/>
      <w:lvlJc w:val="left"/>
      <w:pPr>
        <w:tabs>
          <w:tab w:val="num" w:pos="5040"/>
        </w:tabs>
        <w:ind w:left="5040" w:hanging="360"/>
      </w:pPr>
      <w:rPr>
        <w:rFonts w:ascii="Aptos" w:hAnsi="Aptos" w:hint="default"/>
      </w:rPr>
    </w:lvl>
    <w:lvl w:ilvl="7" w:tplc="FF144E62" w:tentative="1">
      <w:start w:val="1"/>
      <w:numFmt w:val="bullet"/>
      <w:lvlText w:val="-"/>
      <w:lvlJc w:val="left"/>
      <w:pPr>
        <w:tabs>
          <w:tab w:val="num" w:pos="5760"/>
        </w:tabs>
        <w:ind w:left="5760" w:hanging="360"/>
      </w:pPr>
      <w:rPr>
        <w:rFonts w:ascii="Aptos" w:hAnsi="Aptos" w:hint="default"/>
      </w:rPr>
    </w:lvl>
    <w:lvl w:ilvl="8" w:tplc="8BEEAFFC"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73642230"/>
    <w:multiLevelType w:val="hybridMultilevel"/>
    <w:tmpl w:val="6D280DCE"/>
    <w:lvl w:ilvl="0" w:tplc="0AE42C72">
      <w:start w:val="1"/>
      <w:numFmt w:val="bullet"/>
      <w:lvlText w:val="-"/>
      <w:lvlJc w:val="left"/>
      <w:pPr>
        <w:tabs>
          <w:tab w:val="num" w:pos="720"/>
        </w:tabs>
        <w:ind w:left="720" w:hanging="360"/>
      </w:pPr>
      <w:rPr>
        <w:rFonts w:ascii="Aptos" w:hAnsi="Aptos" w:hint="default"/>
      </w:rPr>
    </w:lvl>
    <w:lvl w:ilvl="1" w:tplc="57E43020" w:tentative="1">
      <w:start w:val="1"/>
      <w:numFmt w:val="bullet"/>
      <w:lvlText w:val="-"/>
      <w:lvlJc w:val="left"/>
      <w:pPr>
        <w:tabs>
          <w:tab w:val="num" w:pos="1440"/>
        </w:tabs>
        <w:ind w:left="1440" w:hanging="360"/>
      </w:pPr>
      <w:rPr>
        <w:rFonts w:ascii="Aptos" w:hAnsi="Aptos" w:hint="default"/>
      </w:rPr>
    </w:lvl>
    <w:lvl w:ilvl="2" w:tplc="851866F8" w:tentative="1">
      <w:start w:val="1"/>
      <w:numFmt w:val="bullet"/>
      <w:lvlText w:val="-"/>
      <w:lvlJc w:val="left"/>
      <w:pPr>
        <w:tabs>
          <w:tab w:val="num" w:pos="2160"/>
        </w:tabs>
        <w:ind w:left="2160" w:hanging="360"/>
      </w:pPr>
      <w:rPr>
        <w:rFonts w:ascii="Aptos" w:hAnsi="Aptos" w:hint="default"/>
      </w:rPr>
    </w:lvl>
    <w:lvl w:ilvl="3" w:tplc="9614FC56" w:tentative="1">
      <w:start w:val="1"/>
      <w:numFmt w:val="bullet"/>
      <w:lvlText w:val="-"/>
      <w:lvlJc w:val="left"/>
      <w:pPr>
        <w:tabs>
          <w:tab w:val="num" w:pos="2880"/>
        </w:tabs>
        <w:ind w:left="2880" w:hanging="360"/>
      </w:pPr>
      <w:rPr>
        <w:rFonts w:ascii="Aptos" w:hAnsi="Aptos" w:hint="default"/>
      </w:rPr>
    </w:lvl>
    <w:lvl w:ilvl="4" w:tplc="2CC4AF9E" w:tentative="1">
      <w:start w:val="1"/>
      <w:numFmt w:val="bullet"/>
      <w:lvlText w:val="-"/>
      <w:lvlJc w:val="left"/>
      <w:pPr>
        <w:tabs>
          <w:tab w:val="num" w:pos="3600"/>
        </w:tabs>
        <w:ind w:left="3600" w:hanging="360"/>
      </w:pPr>
      <w:rPr>
        <w:rFonts w:ascii="Aptos" w:hAnsi="Aptos" w:hint="default"/>
      </w:rPr>
    </w:lvl>
    <w:lvl w:ilvl="5" w:tplc="D890CC1C" w:tentative="1">
      <w:start w:val="1"/>
      <w:numFmt w:val="bullet"/>
      <w:lvlText w:val="-"/>
      <w:lvlJc w:val="left"/>
      <w:pPr>
        <w:tabs>
          <w:tab w:val="num" w:pos="4320"/>
        </w:tabs>
        <w:ind w:left="4320" w:hanging="360"/>
      </w:pPr>
      <w:rPr>
        <w:rFonts w:ascii="Aptos" w:hAnsi="Aptos" w:hint="default"/>
      </w:rPr>
    </w:lvl>
    <w:lvl w:ilvl="6" w:tplc="067660FC" w:tentative="1">
      <w:start w:val="1"/>
      <w:numFmt w:val="bullet"/>
      <w:lvlText w:val="-"/>
      <w:lvlJc w:val="left"/>
      <w:pPr>
        <w:tabs>
          <w:tab w:val="num" w:pos="5040"/>
        </w:tabs>
        <w:ind w:left="5040" w:hanging="360"/>
      </w:pPr>
      <w:rPr>
        <w:rFonts w:ascii="Aptos" w:hAnsi="Aptos" w:hint="default"/>
      </w:rPr>
    </w:lvl>
    <w:lvl w:ilvl="7" w:tplc="42E48782" w:tentative="1">
      <w:start w:val="1"/>
      <w:numFmt w:val="bullet"/>
      <w:lvlText w:val="-"/>
      <w:lvlJc w:val="left"/>
      <w:pPr>
        <w:tabs>
          <w:tab w:val="num" w:pos="5760"/>
        </w:tabs>
        <w:ind w:left="5760" w:hanging="360"/>
      </w:pPr>
      <w:rPr>
        <w:rFonts w:ascii="Aptos" w:hAnsi="Aptos" w:hint="default"/>
      </w:rPr>
    </w:lvl>
    <w:lvl w:ilvl="8" w:tplc="0E2E69C0" w:tentative="1">
      <w:start w:val="1"/>
      <w:numFmt w:val="bullet"/>
      <w:lvlText w:val="-"/>
      <w:lvlJc w:val="left"/>
      <w:pPr>
        <w:tabs>
          <w:tab w:val="num" w:pos="6480"/>
        </w:tabs>
        <w:ind w:left="6480" w:hanging="360"/>
      </w:pPr>
      <w:rPr>
        <w:rFonts w:ascii="Aptos" w:hAnsi="Aptos" w:hint="default"/>
      </w:rPr>
    </w:lvl>
  </w:abstractNum>
  <w:abstractNum w:abstractNumId="15" w15:restartNumberingAfterBreak="0">
    <w:nsid w:val="7A1028D0"/>
    <w:multiLevelType w:val="hybridMultilevel"/>
    <w:tmpl w:val="2DC4388A"/>
    <w:lvl w:ilvl="0" w:tplc="8CC86C0E">
      <w:start w:val="1"/>
      <w:numFmt w:val="bullet"/>
      <w:lvlText w:val="-"/>
      <w:lvlJc w:val="left"/>
      <w:pPr>
        <w:ind w:left="720" w:hanging="360"/>
      </w:pPr>
      <w:rPr>
        <w:rFonts w:ascii="Aptos" w:hAnsi="Aptos" w:hint="default"/>
      </w:rPr>
    </w:lvl>
    <w:lvl w:ilvl="1" w:tplc="F788B2C6">
      <w:start w:val="1"/>
      <w:numFmt w:val="bullet"/>
      <w:lvlText w:val="o"/>
      <w:lvlJc w:val="left"/>
      <w:pPr>
        <w:ind w:left="1440" w:hanging="360"/>
      </w:pPr>
      <w:rPr>
        <w:rFonts w:ascii="Courier New" w:hAnsi="Courier New" w:hint="default"/>
      </w:rPr>
    </w:lvl>
    <w:lvl w:ilvl="2" w:tplc="DFF8CD76">
      <w:start w:val="1"/>
      <w:numFmt w:val="bullet"/>
      <w:lvlText w:val=""/>
      <w:lvlJc w:val="left"/>
      <w:pPr>
        <w:ind w:left="2160" w:hanging="360"/>
      </w:pPr>
      <w:rPr>
        <w:rFonts w:ascii="Wingdings" w:hAnsi="Wingdings" w:hint="default"/>
      </w:rPr>
    </w:lvl>
    <w:lvl w:ilvl="3" w:tplc="DAE87476">
      <w:start w:val="1"/>
      <w:numFmt w:val="bullet"/>
      <w:lvlText w:val=""/>
      <w:lvlJc w:val="left"/>
      <w:pPr>
        <w:ind w:left="2880" w:hanging="360"/>
      </w:pPr>
      <w:rPr>
        <w:rFonts w:ascii="Symbol" w:hAnsi="Symbol" w:hint="default"/>
      </w:rPr>
    </w:lvl>
    <w:lvl w:ilvl="4" w:tplc="4C0A8730">
      <w:start w:val="1"/>
      <w:numFmt w:val="bullet"/>
      <w:lvlText w:val="o"/>
      <w:lvlJc w:val="left"/>
      <w:pPr>
        <w:ind w:left="3600" w:hanging="360"/>
      </w:pPr>
      <w:rPr>
        <w:rFonts w:ascii="Courier New" w:hAnsi="Courier New" w:hint="default"/>
      </w:rPr>
    </w:lvl>
    <w:lvl w:ilvl="5" w:tplc="D1B48310">
      <w:start w:val="1"/>
      <w:numFmt w:val="bullet"/>
      <w:lvlText w:val=""/>
      <w:lvlJc w:val="left"/>
      <w:pPr>
        <w:ind w:left="4320" w:hanging="360"/>
      </w:pPr>
      <w:rPr>
        <w:rFonts w:ascii="Wingdings" w:hAnsi="Wingdings" w:hint="default"/>
      </w:rPr>
    </w:lvl>
    <w:lvl w:ilvl="6" w:tplc="8F786314">
      <w:start w:val="1"/>
      <w:numFmt w:val="bullet"/>
      <w:lvlText w:val=""/>
      <w:lvlJc w:val="left"/>
      <w:pPr>
        <w:ind w:left="5040" w:hanging="360"/>
      </w:pPr>
      <w:rPr>
        <w:rFonts w:ascii="Symbol" w:hAnsi="Symbol" w:hint="default"/>
      </w:rPr>
    </w:lvl>
    <w:lvl w:ilvl="7" w:tplc="9364DA74">
      <w:start w:val="1"/>
      <w:numFmt w:val="bullet"/>
      <w:lvlText w:val="o"/>
      <w:lvlJc w:val="left"/>
      <w:pPr>
        <w:ind w:left="5760" w:hanging="360"/>
      </w:pPr>
      <w:rPr>
        <w:rFonts w:ascii="Courier New" w:hAnsi="Courier New" w:hint="default"/>
      </w:rPr>
    </w:lvl>
    <w:lvl w:ilvl="8" w:tplc="264A3E22">
      <w:start w:val="1"/>
      <w:numFmt w:val="bullet"/>
      <w:lvlText w:val=""/>
      <w:lvlJc w:val="left"/>
      <w:pPr>
        <w:ind w:left="6480" w:hanging="360"/>
      </w:pPr>
      <w:rPr>
        <w:rFonts w:ascii="Wingdings" w:hAnsi="Wingdings" w:hint="default"/>
      </w:rPr>
    </w:lvl>
  </w:abstractNum>
  <w:abstractNum w:abstractNumId="16" w15:restartNumberingAfterBreak="0">
    <w:nsid w:val="7F0074C2"/>
    <w:multiLevelType w:val="hybridMultilevel"/>
    <w:tmpl w:val="EBA4A878"/>
    <w:lvl w:ilvl="0" w:tplc="9ACE7FA0">
      <w:start w:val="1"/>
      <w:numFmt w:val="bullet"/>
      <w:lvlText w:val="-"/>
      <w:lvlJc w:val="left"/>
      <w:pPr>
        <w:tabs>
          <w:tab w:val="num" w:pos="720"/>
        </w:tabs>
        <w:ind w:left="720" w:hanging="360"/>
      </w:pPr>
      <w:rPr>
        <w:rFonts w:ascii="Aptos" w:hAnsi="Aptos" w:hint="default"/>
      </w:rPr>
    </w:lvl>
    <w:lvl w:ilvl="1" w:tplc="7B96A4F6" w:tentative="1">
      <w:start w:val="1"/>
      <w:numFmt w:val="bullet"/>
      <w:lvlText w:val="-"/>
      <w:lvlJc w:val="left"/>
      <w:pPr>
        <w:tabs>
          <w:tab w:val="num" w:pos="1440"/>
        </w:tabs>
        <w:ind w:left="1440" w:hanging="360"/>
      </w:pPr>
      <w:rPr>
        <w:rFonts w:ascii="Aptos" w:hAnsi="Aptos" w:hint="default"/>
      </w:rPr>
    </w:lvl>
    <w:lvl w:ilvl="2" w:tplc="F8D2501E" w:tentative="1">
      <w:start w:val="1"/>
      <w:numFmt w:val="bullet"/>
      <w:lvlText w:val="-"/>
      <w:lvlJc w:val="left"/>
      <w:pPr>
        <w:tabs>
          <w:tab w:val="num" w:pos="2160"/>
        </w:tabs>
        <w:ind w:left="2160" w:hanging="360"/>
      </w:pPr>
      <w:rPr>
        <w:rFonts w:ascii="Aptos" w:hAnsi="Aptos" w:hint="default"/>
      </w:rPr>
    </w:lvl>
    <w:lvl w:ilvl="3" w:tplc="0FD48000" w:tentative="1">
      <w:start w:val="1"/>
      <w:numFmt w:val="bullet"/>
      <w:lvlText w:val="-"/>
      <w:lvlJc w:val="left"/>
      <w:pPr>
        <w:tabs>
          <w:tab w:val="num" w:pos="2880"/>
        </w:tabs>
        <w:ind w:left="2880" w:hanging="360"/>
      </w:pPr>
      <w:rPr>
        <w:rFonts w:ascii="Aptos" w:hAnsi="Aptos" w:hint="default"/>
      </w:rPr>
    </w:lvl>
    <w:lvl w:ilvl="4" w:tplc="E63ADCE2" w:tentative="1">
      <w:start w:val="1"/>
      <w:numFmt w:val="bullet"/>
      <w:lvlText w:val="-"/>
      <w:lvlJc w:val="left"/>
      <w:pPr>
        <w:tabs>
          <w:tab w:val="num" w:pos="3600"/>
        </w:tabs>
        <w:ind w:left="3600" w:hanging="360"/>
      </w:pPr>
      <w:rPr>
        <w:rFonts w:ascii="Aptos" w:hAnsi="Aptos" w:hint="default"/>
      </w:rPr>
    </w:lvl>
    <w:lvl w:ilvl="5" w:tplc="4524ED52" w:tentative="1">
      <w:start w:val="1"/>
      <w:numFmt w:val="bullet"/>
      <w:lvlText w:val="-"/>
      <w:lvlJc w:val="left"/>
      <w:pPr>
        <w:tabs>
          <w:tab w:val="num" w:pos="4320"/>
        </w:tabs>
        <w:ind w:left="4320" w:hanging="360"/>
      </w:pPr>
      <w:rPr>
        <w:rFonts w:ascii="Aptos" w:hAnsi="Aptos" w:hint="default"/>
      </w:rPr>
    </w:lvl>
    <w:lvl w:ilvl="6" w:tplc="09487DB0" w:tentative="1">
      <w:start w:val="1"/>
      <w:numFmt w:val="bullet"/>
      <w:lvlText w:val="-"/>
      <w:lvlJc w:val="left"/>
      <w:pPr>
        <w:tabs>
          <w:tab w:val="num" w:pos="5040"/>
        </w:tabs>
        <w:ind w:left="5040" w:hanging="360"/>
      </w:pPr>
      <w:rPr>
        <w:rFonts w:ascii="Aptos" w:hAnsi="Aptos" w:hint="default"/>
      </w:rPr>
    </w:lvl>
    <w:lvl w:ilvl="7" w:tplc="3C700D56" w:tentative="1">
      <w:start w:val="1"/>
      <w:numFmt w:val="bullet"/>
      <w:lvlText w:val="-"/>
      <w:lvlJc w:val="left"/>
      <w:pPr>
        <w:tabs>
          <w:tab w:val="num" w:pos="5760"/>
        </w:tabs>
        <w:ind w:left="5760" w:hanging="360"/>
      </w:pPr>
      <w:rPr>
        <w:rFonts w:ascii="Aptos" w:hAnsi="Aptos" w:hint="default"/>
      </w:rPr>
    </w:lvl>
    <w:lvl w:ilvl="8" w:tplc="03B8177C" w:tentative="1">
      <w:start w:val="1"/>
      <w:numFmt w:val="bullet"/>
      <w:lvlText w:val="-"/>
      <w:lvlJc w:val="left"/>
      <w:pPr>
        <w:tabs>
          <w:tab w:val="num" w:pos="6480"/>
        </w:tabs>
        <w:ind w:left="6480" w:hanging="360"/>
      </w:pPr>
      <w:rPr>
        <w:rFonts w:ascii="Aptos" w:hAnsi="Aptos" w:hint="default"/>
      </w:rPr>
    </w:lvl>
  </w:abstractNum>
  <w:num w:numId="1" w16cid:durableId="561477936">
    <w:abstractNumId w:val="3"/>
  </w:num>
  <w:num w:numId="2" w16cid:durableId="1071584986">
    <w:abstractNumId w:val="12"/>
  </w:num>
  <w:num w:numId="3" w16cid:durableId="693073553">
    <w:abstractNumId w:val="0"/>
  </w:num>
  <w:num w:numId="4" w16cid:durableId="1240825850">
    <w:abstractNumId w:val="7"/>
  </w:num>
  <w:num w:numId="5" w16cid:durableId="609122817">
    <w:abstractNumId w:val="15"/>
  </w:num>
  <w:num w:numId="6" w16cid:durableId="1695645138">
    <w:abstractNumId w:val="11"/>
  </w:num>
  <w:num w:numId="7" w16cid:durableId="1868984917">
    <w:abstractNumId w:val="5"/>
  </w:num>
  <w:num w:numId="8" w16cid:durableId="664625867">
    <w:abstractNumId w:val="10"/>
  </w:num>
  <w:num w:numId="9" w16cid:durableId="504200535">
    <w:abstractNumId w:val="9"/>
  </w:num>
  <w:num w:numId="10" w16cid:durableId="1344086005">
    <w:abstractNumId w:val="8"/>
  </w:num>
  <w:num w:numId="11" w16cid:durableId="983241675">
    <w:abstractNumId w:val="2"/>
  </w:num>
  <w:num w:numId="12" w16cid:durableId="930087000">
    <w:abstractNumId w:val="16"/>
  </w:num>
  <w:num w:numId="13" w16cid:durableId="34888245">
    <w:abstractNumId w:val="13"/>
  </w:num>
  <w:num w:numId="14" w16cid:durableId="2114664113">
    <w:abstractNumId w:val="1"/>
  </w:num>
  <w:num w:numId="15" w16cid:durableId="1050418628">
    <w:abstractNumId w:val="14"/>
  </w:num>
  <w:num w:numId="16" w16cid:durableId="1610350747">
    <w:abstractNumId w:val="6"/>
  </w:num>
  <w:num w:numId="17" w16cid:durableId="183306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2"/>
    <w:rsid w:val="0001622B"/>
    <w:rsid w:val="00017148"/>
    <w:rsid w:val="000272B7"/>
    <w:rsid w:val="0003110F"/>
    <w:rsid w:val="00045665"/>
    <w:rsid w:val="000552A5"/>
    <w:rsid w:val="00063F18"/>
    <w:rsid w:val="0006594C"/>
    <w:rsid w:val="000906F8"/>
    <w:rsid w:val="00090E5A"/>
    <w:rsid w:val="0009112B"/>
    <w:rsid w:val="000A0AC8"/>
    <w:rsid w:val="000A2E00"/>
    <w:rsid w:val="000A2EAE"/>
    <w:rsid w:val="000B01B1"/>
    <w:rsid w:val="000B7046"/>
    <w:rsid w:val="000D3021"/>
    <w:rsid w:val="000D3C64"/>
    <w:rsid w:val="000D61EE"/>
    <w:rsid w:val="000E0985"/>
    <w:rsid w:val="000E7716"/>
    <w:rsid w:val="000F3DE4"/>
    <w:rsid w:val="000F5615"/>
    <w:rsid w:val="00104115"/>
    <w:rsid w:val="00104CFC"/>
    <w:rsid w:val="00105FBC"/>
    <w:rsid w:val="0010732A"/>
    <w:rsid w:val="00122099"/>
    <w:rsid w:val="00122610"/>
    <w:rsid w:val="00124628"/>
    <w:rsid w:val="00131DBD"/>
    <w:rsid w:val="00144A22"/>
    <w:rsid w:val="00145337"/>
    <w:rsid w:val="0015321D"/>
    <w:rsid w:val="001750AB"/>
    <w:rsid w:val="0018393D"/>
    <w:rsid w:val="001851D9"/>
    <w:rsid w:val="001A3794"/>
    <w:rsid w:val="001B7B2C"/>
    <w:rsid w:val="001D29F8"/>
    <w:rsid w:val="001E7C2F"/>
    <w:rsid w:val="00202BB4"/>
    <w:rsid w:val="00211B7B"/>
    <w:rsid w:val="00217256"/>
    <w:rsid w:val="00226BD5"/>
    <w:rsid w:val="002420C3"/>
    <w:rsid w:val="00243AEB"/>
    <w:rsid w:val="002543C6"/>
    <w:rsid w:val="0027079D"/>
    <w:rsid w:val="00273320"/>
    <w:rsid w:val="002A4466"/>
    <w:rsid w:val="002A44D3"/>
    <w:rsid w:val="002B71A6"/>
    <w:rsid w:val="002C0708"/>
    <w:rsid w:val="002C3443"/>
    <w:rsid w:val="002D0ED2"/>
    <w:rsid w:val="002D246E"/>
    <w:rsid w:val="002D322C"/>
    <w:rsid w:val="002D5113"/>
    <w:rsid w:val="002D5624"/>
    <w:rsid w:val="002D75E7"/>
    <w:rsid w:val="002D7E3E"/>
    <w:rsid w:val="002F3D09"/>
    <w:rsid w:val="002F4994"/>
    <w:rsid w:val="003151A0"/>
    <w:rsid w:val="00320126"/>
    <w:rsid w:val="00325F0E"/>
    <w:rsid w:val="00334CDB"/>
    <w:rsid w:val="0035792A"/>
    <w:rsid w:val="00361155"/>
    <w:rsid w:val="00371E72"/>
    <w:rsid w:val="0037712A"/>
    <w:rsid w:val="00391827"/>
    <w:rsid w:val="003A3698"/>
    <w:rsid w:val="003B1D74"/>
    <w:rsid w:val="003B6246"/>
    <w:rsid w:val="003C422B"/>
    <w:rsid w:val="003D62CD"/>
    <w:rsid w:val="003E03BE"/>
    <w:rsid w:val="003E3A13"/>
    <w:rsid w:val="003E6459"/>
    <w:rsid w:val="003E76C0"/>
    <w:rsid w:val="00410E46"/>
    <w:rsid w:val="00414671"/>
    <w:rsid w:val="004241A8"/>
    <w:rsid w:val="00427112"/>
    <w:rsid w:val="00430989"/>
    <w:rsid w:val="00442A4C"/>
    <w:rsid w:val="0044652C"/>
    <w:rsid w:val="004605F2"/>
    <w:rsid w:val="0046664E"/>
    <w:rsid w:val="0047083E"/>
    <w:rsid w:val="00477607"/>
    <w:rsid w:val="00482530"/>
    <w:rsid w:val="0049505B"/>
    <w:rsid w:val="004A7350"/>
    <w:rsid w:val="004D226B"/>
    <w:rsid w:val="004E7FA7"/>
    <w:rsid w:val="004F12C7"/>
    <w:rsid w:val="00500093"/>
    <w:rsid w:val="00516332"/>
    <w:rsid w:val="00530B08"/>
    <w:rsid w:val="00533AD2"/>
    <w:rsid w:val="00535D79"/>
    <w:rsid w:val="00561352"/>
    <w:rsid w:val="00562685"/>
    <w:rsid w:val="0056432A"/>
    <w:rsid w:val="005651C5"/>
    <w:rsid w:val="00567407"/>
    <w:rsid w:val="00582744"/>
    <w:rsid w:val="005A7DC9"/>
    <w:rsid w:val="005B5DCB"/>
    <w:rsid w:val="005B5EB4"/>
    <w:rsid w:val="005D410A"/>
    <w:rsid w:val="005F37BA"/>
    <w:rsid w:val="006149F6"/>
    <w:rsid w:val="00621022"/>
    <w:rsid w:val="006245E4"/>
    <w:rsid w:val="00624EB6"/>
    <w:rsid w:val="00662818"/>
    <w:rsid w:val="006757BB"/>
    <w:rsid w:val="00676A7C"/>
    <w:rsid w:val="006874AE"/>
    <w:rsid w:val="006911B5"/>
    <w:rsid w:val="00691C98"/>
    <w:rsid w:val="00695170"/>
    <w:rsid w:val="006E634B"/>
    <w:rsid w:val="006F1A97"/>
    <w:rsid w:val="00703BCC"/>
    <w:rsid w:val="00720D2B"/>
    <w:rsid w:val="0074317E"/>
    <w:rsid w:val="007550BA"/>
    <w:rsid w:val="0076222C"/>
    <w:rsid w:val="00773EF6"/>
    <w:rsid w:val="007858A5"/>
    <w:rsid w:val="00791E9E"/>
    <w:rsid w:val="00795D68"/>
    <w:rsid w:val="007A520B"/>
    <w:rsid w:val="007A6CA8"/>
    <w:rsid w:val="007B3459"/>
    <w:rsid w:val="007B6978"/>
    <w:rsid w:val="007D05CB"/>
    <w:rsid w:val="007D6FDE"/>
    <w:rsid w:val="007F05DC"/>
    <w:rsid w:val="00806FC3"/>
    <w:rsid w:val="008079CB"/>
    <w:rsid w:val="00816DD1"/>
    <w:rsid w:val="00817B0E"/>
    <w:rsid w:val="00820E0B"/>
    <w:rsid w:val="00824C06"/>
    <w:rsid w:val="008308B4"/>
    <w:rsid w:val="008341A8"/>
    <w:rsid w:val="00861A0A"/>
    <w:rsid w:val="00863C1A"/>
    <w:rsid w:val="00866432"/>
    <w:rsid w:val="0087432A"/>
    <w:rsid w:val="00890E9E"/>
    <w:rsid w:val="00895EAB"/>
    <w:rsid w:val="008C5A62"/>
    <w:rsid w:val="008E0090"/>
    <w:rsid w:val="008F03B1"/>
    <w:rsid w:val="008F1798"/>
    <w:rsid w:val="00902F66"/>
    <w:rsid w:val="00922A76"/>
    <w:rsid w:val="00942F22"/>
    <w:rsid w:val="00955A88"/>
    <w:rsid w:val="0096204E"/>
    <w:rsid w:val="00971BA0"/>
    <w:rsid w:val="00976C1A"/>
    <w:rsid w:val="009776E9"/>
    <w:rsid w:val="00990463"/>
    <w:rsid w:val="00991000"/>
    <w:rsid w:val="00995801"/>
    <w:rsid w:val="009C3B0C"/>
    <w:rsid w:val="009D3E8D"/>
    <w:rsid w:val="009E3480"/>
    <w:rsid w:val="00A05C39"/>
    <w:rsid w:val="00A21FAA"/>
    <w:rsid w:val="00A30F43"/>
    <w:rsid w:val="00A322A9"/>
    <w:rsid w:val="00A36530"/>
    <w:rsid w:val="00A4471A"/>
    <w:rsid w:val="00A6185A"/>
    <w:rsid w:val="00A62E99"/>
    <w:rsid w:val="00A63388"/>
    <w:rsid w:val="00A74AC7"/>
    <w:rsid w:val="00A81CB0"/>
    <w:rsid w:val="00A83229"/>
    <w:rsid w:val="00A96275"/>
    <w:rsid w:val="00A97DF4"/>
    <w:rsid w:val="00AC15EF"/>
    <w:rsid w:val="00AC2489"/>
    <w:rsid w:val="00AC348F"/>
    <w:rsid w:val="00AD5FA0"/>
    <w:rsid w:val="00AE2FF6"/>
    <w:rsid w:val="00B13B9E"/>
    <w:rsid w:val="00B260E9"/>
    <w:rsid w:val="00B271FA"/>
    <w:rsid w:val="00B27A84"/>
    <w:rsid w:val="00B358D2"/>
    <w:rsid w:val="00B43AEB"/>
    <w:rsid w:val="00B43F9B"/>
    <w:rsid w:val="00B53720"/>
    <w:rsid w:val="00B6336C"/>
    <w:rsid w:val="00BC522C"/>
    <w:rsid w:val="00BC7E9C"/>
    <w:rsid w:val="00BF58A3"/>
    <w:rsid w:val="00BF58B5"/>
    <w:rsid w:val="00C07753"/>
    <w:rsid w:val="00C2254F"/>
    <w:rsid w:val="00C23451"/>
    <w:rsid w:val="00C27B55"/>
    <w:rsid w:val="00C322AB"/>
    <w:rsid w:val="00C50CFC"/>
    <w:rsid w:val="00C51A56"/>
    <w:rsid w:val="00C53FA8"/>
    <w:rsid w:val="00C54AA3"/>
    <w:rsid w:val="00C55552"/>
    <w:rsid w:val="00C609CE"/>
    <w:rsid w:val="00C628A7"/>
    <w:rsid w:val="00C72FDD"/>
    <w:rsid w:val="00C92AFE"/>
    <w:rsid w:val="00C92EEC"/>
    <w:rsid w:val="00C9653E"/>
    <w:rsid w:val="00CA0E12"/>
    <w:rsid w:val="00CA49FD"/>
    <w:rsid w:val="00CA71FE"/>
    <w:rsid w:val="00CB050D"/>
    <w:rsid w:val="00CB211A"/>
    <w:rsid w:val="00CB22D0"/>
    <w:rsid w:val="00CB5DD2"/>
    <w:rsid w:val="00CC7CBD"/>
    <w:rsid w:val="00CD4849"/>
    <w:rsid w:val="00CE016E"/>
    <w:rsid w:val="00CF4D28"/>
    <w:rsid w:val="00D6379B"/>
    <w:rsid w:val="00D8592B"/>
    <w:rsid w:val="00D85C70"/>
    <w:rsid w:val="00D91D50"/>
    <w:rsid w:val="00D929DF"/>
    <w:rsid w:val="00D935E8"/>
    <w:rsid w:val="00DA75A2"/>
    <w:rsid w:val="00DC6D56"/>
    <w:rsid w:val="00DC7B52"/>
    <w:rsid w:val="00DD2A72"/>
    <w:rsid w:val="00DF13FD"/>
    <w:rsid w:val="00E06D37"/>
    <w:rsid w:val="00E07D68"/>
    <w:rsid w:val="00E25A76"/>
    <w:rsid w:val="00E27EF6"/>
    <w:rsid w:val="00E35B96"/>
    <w:rsid w:val="00E405CA"/>
    <w:rsid w:val="00E53883"/>
    <w:rsid w:val="00E80114"/>
    <w:rsid w:val="00E81A99"/>
    <w:rsid w:val="00E85A65"/>
    <w:rsid w:val="00E87E29"/>
    <w:rsid w:val="00E94DDB"/>
    <w:rsid w:val="00EB018D"/>
    <w:rsid w:val="00EB0BB7"/>
    <w:rsid w:val="00EB3DEC"/>
    <w:rsid w:val="00EC3CA4"/>
    <w:rsid w:val="00EC3E47"/>
    <w:rsid w:val="00EC4470"/>
    <w:rsid w:val="00EF62BA"/>
    <w:rsid w:val="00EF77AC"/>
    <w:rsid w:val="00F303A0"/>
    <w:rsid w:val="00F466E9"/>
    <w:rsid w:val="00F54C02"/>
    <w:rsid w:val="00F8161E"/>
    <w:rsid w:val="00F83104"/>
    <w:rsid w:val="00F86414"/>
    <w:rsid w:val="00F97860"/>
    <w:rsid w:val="00FA0BAA"/>
    <w:rsid w:val="00FA1109"/>
    <w:rsid w:val="00FB0AF5"/>
    <w:rsid w:val="00FB4D24"/>
    <w:rsid w:val="00FB5D8A"/>
    <w:rsid w:val="00FB7BE7"/>
    <w:rsid w:val="00FC6061"/>
    <w:rsid w:val="00FC66B9"/>
    <w:rsid w:val="00FD42A5"/>
    <w:rsid w:val="00FE0F49"/>
    <w:rsid w:val="00FE1B1D"/>
    <w:rsid w:val="00FE741E"/>
    <w:rsid w:val="00FF1E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533F"/>
  <w15:chartTrackingRefBased/>
  <w15:docId w15:val="{5B8E97C9-FF4F-41AF-B5CD-850F1EBC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2"/>
    <w:pPr>
      <w:spacing w:after="200" w:line="276" w:lineRule="auto"/>
      <w:jc w:val="both"/>
    </w:pPr>
    <w:rPr>
      <w:rFonts w:ascii="Calibri" w:hAnsi="Calibri"/>
      <w:kern w:val="0"/>
      <w:lang w:val="fr-FR"/>
      <w14:ligatures w14:val="none"/>
    </w:rPr>
  </w:style>
  <w:style w:type="paragraph" w:styleId="Heading1">
    <w:name w:val="heading 1"/>
    <w:basedOn w:val="Normal"/>
    <w:next w:val="Normal"/>
    <w:link w:val="Heading1Char"/>
    <w:uiPriority w:val="9"/>
    <w:qFormat/>
    <w:rsid w:val="00A83229"/>
    <w:pPr>
      <w:keepNext/>
      <w:keepLines/>
      <w:numPr>
        <w:numId w:val="11"/>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83229"/>
    <w:pPr>
      <w:keepNext/>
      <w:keepLines/>
      <w:numPr>
        <w:ilvl w:val="1"/>
        <w:numId w:val="11"/>
      </w:numPr>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A83229"/>
    <w:pPr>
      <w:keepNext/>
      <w:keepLines/>
      <w:numPr>
        <w:ilvl w:val="2"/>
        <w:numId w:val="11"/>
      </w:numPr>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A83229"/>
    <w:pPr>
      <w:keepNext/>
      <w:keepLines/>
      <w:numPr>
        <w:ilvl w:val="3"/>
        <w:numId w:val="1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B5DD2"/>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D2"/>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D2"/>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D2"/>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D2"/>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29"/>
    <w:rPr>
      <w:rFonts w:ascii="Calibri" w:eastAsiaTheme="majorEastAsia" w:hAnsi="Calibri" w:cstheme="majorBidi"/>
      <w:b/>
      <w:kern w:val="0"/>
      <w:szCs w:val="40"/>
      <w:lang w:val="en-US"/>
      <w14:ligatures w14:val="none"/>
    </w:rPr>
  </w:style>
  <w:style w:type="character" w:customStyle="1" w:styleId="Heading2Char">
    <w:name w:val="Heading 2 Char"/>
    <w:basedOn w:val="DefaultParagraphFont"/>
    <w:link w:val="Heading2"/>
    <w:uiPriority w:val="9"/>
    <w:rsid w:val="00A83229"/>
    <w:rPr>
      <w:rFonts w:ascii="Calibri" w:eastAsiaTheme="majorEastAsia" w:hAnsi="Calibri" w:cstheme="majorBidi"/>
      <w:kern w:val="0"/>
      <w:szCs w:val="32"/>
      <w:lang w:val="en-US"/>
      <w14:ligatures w14:val="none"/>
    </w:rPr>
  </w:style>
  <w:style w:type="character" w:customStyle="1" w:styleId="Heading3Char">
    <w:name w:val="Heading 3 Char"/>
    <w:basedOn w:val="DefaultParagraphFont"/>
    <w:link w:val="Heading3"/>
    <w:uiPriority w:val="9"/>
    <w:rsid w:val="00A83229"/>
    <w:rPr>
      <w:rFonts w:ascii="Calibri" w:eastAsiaTheme="majorEastAsia" w:hAnsi="Calibri" w:cstheme="majorBidi"/>
      <w:kern w:val="0"/>
      <w:szCs w:val="28"/>
      <w:lang w:val="en-US"/>
      <w14:ligatures w14:val="none"/>
    </w:rPr>
  </w:style>
  <w:style w:type="character" w:customStyle="1" w:styleId="Heading4Char">
    <w:name w:val="Heading 4 Char"/>
    <w:basedOn w:val="DefaultParagraphFont"/>
    <w:link w:val="Heading4"/>
    <w:uiPriority w:val="9"/>
    <w:rsid w:val="00A83229"/>
    <w:rPr>
      <w:rFonts w:ascii="Calibri" w:eastAsiaTheme="majorEastAsia" w:hAnsi="Calibri" w:cstheme="majorBidi"/>
      <w:i/>
      <w:iCs/>
      <w:kern w:val="0"/>
      <w:lang w:val="en-US"/>
      <w14:ligatures w14:val="none"/>
    </w:rPr>
  </w:style>
  <w:style w:type="character" w:customStyle="1" w:styleId="Heading5Char">
    <w:name w:val="Heading 5 Char"/>
    <w:basedOn w:val="DefaultParagraphFont"/>
    <w:link w:val="Heading5"/>
    <w:uiPriority w:val="9"/>
    <w:semiHidden/>
    <w:rsid w:val="00CB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D2"/>
    <w:rPr>
      <w:rFonts w:eastAsiaTheme="majorEastAsia" w:cstheme="majorBidi"/>
      <w:color w:val="272727" w:themeColor="text1" w:themeTint="D8"/>
    </w:rPr>
  </w:style>
  <w:style w:type="paragraph" w:styleId="Title">
    <w:name w:val="Title"/>
    <w:basedOn w:val="Normal"/>
    <w:next w:val="Normal"/>
    <w:link w:val="TitleChar"/>
    <w:uiPriority w:val="10"/>
    <w:qFormat/>
    <w:rsid w:val="0018393D"/>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8393D"/>
    <w:rPr>
      <w:rFonts w:ascii="Calibri" w:eastAsiaTheme="majorEastAsia" w:hAnsi="Calibri" w:cstheme="majorBidi"/>
      <w:spacing w:val="-10"/>
      <w:kern w:val="28"/>
      <w:sz w:val="40"/>
      <w:szCs w:val="56"/>
      <w:lang w:val="en-US"/>
      <w14:ligatures w14:val="none"/>
    </w:rPr>
  </w:style>
  <w:style w:type="paragraph" w:styleId="Subtitle">
    <w:name w:val="Subtitle"/>
    <w:basedOn w:val="Normal"/>
    <w:next w:val="Normal"/>
    <w:link w:val="SubtitleChar"/>
    <w:uiPriority w:val="11"/>
    <w:qFormat/>
    <w:rsid w:val="00CB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D2"/>
    <w:pPr>
      <w:spacing w:before="160"/>
      <w:jc w:val="center"/>
    </w:pPr>
    <w:rPr>
      <w:i/>
      <w:iCs/>
      <w:color w:val="404040" w:themeColor="text1" w:themeTint="BF"/>
    </w:rPr>
  </w:style>
  <w:style w:type="character" w:customStyle="1" w:styleId="QuoteChar">
    <w:name w:val="Quote Char"/>
    <w:basedOn w:val="DefaultParagraphFont"/>
    <w:link w:val="Quote"/>
    <w:uiPriority w:val="29"/>
    <w:rsid w:val="00CB5DD2"/>
    <w:rPr>
      <w:i/>
      <w:iCs/>
      <w:color w:val="404040" w:themeColor="text1" w:themeTint="BF"/>
    </w:rPr>
  </w:style>
  <w:style w:type="paragraph" w:styleId="ListParagraph">
    <w:name w:val="List Paragraph"/>
    <w:basedOn w:val="Normal"/>
    <w:uiPriority w:val="34"/>
    <w:qFormat/>
    <w:rsid w:val="00CB5DD2"/>
    <w:pPr>
      <w:ind w:left="720"/>
      <w:contextualSpacing/>
    </w:pPr>
  </w:style>
  <w:style w:type="character" w:styleId="IntenseEmphasis">
    <w:name w:val="Intense Emphasis"/>
    <w:basedOn w:val="DefaultParagraphFont"/>
    <w:uiPriority w:val="21"/>
    <w:qFormat/>
    <w:rsid w:val="00CB5DD2"/>
    <w:rPr>
      <w:i/>
      <w:iCs/>
      <w:color w:val="0F4761" w:themeColor="accent1" w:themeShade="BF"/>
    </w:rPr>
  </w:style>
  <w:style w:type="paragraph" w:styleId="IntenseQuote">
    <w:name w:val="Intense Quote"/>
    <w:basedOn w:val="Normal"/>
    <w:next w:val="Normal"/>
    <w:link w:val="IntenseQuoteChar"/>
    <w:uiPriority w:val="30"/>
    <w:qFormat/>
    <w:rsid w:val="00CB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D2"/>
    <w:rPr>
      <w:i/>
      <w:iCs/>
      <w:color w:val="0F4761" w:themeColor="accent1" w:themeShade="BF"/>
    </w:rPr>
  </w:style>
  <w:style w:type="character" w:styleId="IntenseReference">
    <w:name w:val="Intense Reference"/>
    <w:basedOn w:val="DefaultParagraphFont"/>
    <w:uiPriority w:val="32"/>
    <w:qFormat/>
    <w:rsid w:val="00CB5DD2"/>
    <w:rPr>
      <w:b/>
      <w:bCs/>
      <w:smallCaps/>
      <w:color w:val="0F4761" w:themeColor="accent1" w:themeShade="BF"/>
      <w:spacing w:val="5"/>
    </w:rPr>
  </w:style>
  <w:style w:type="character" w:styleId="CommentReference">
    <w:name w:val="annotation reference"/>
    <w:basedOn w:val="DefaultParagraphFont"/>
    <w:uiPriority w:val="99"/>
    <w:semiHidden/>
    <w:unhideWhenUsed/>
    <w:rsid w:val="00CB5DD2"/>
    <w:rPr>
      <w:sz w:val="16"/>
      <w:szCs w:val="16"/>
    </w:rPr>
  </w:style>
  <w:style w:type="paragraph" w:styleId="CommentText">
    <w:name w:val="annotation text"/>
    <w:basedOn w:val="Normal"/>
    <w:link w:val="CommentTextChar"/>
    <w:uiPriority w:val="99"/>
    <w:unhideWhenUsed/>
    <w:rsid w:val="00CB5DD2"/>
    <w:pPr>
      <w:spacing w:line="240" w:lineRule="auto"/>
    </w:pPr>
    <w:rPr>
      <w:sz w:val="20"/>
      <w:szCs w:val="20"/>
    </w:rPr>
  </w:style>
  <w:style w:type="character" w:customStyle="1" w:styleId="CommentTextChar">
    <w:name w:val="Comment Text Char"/>
    <w:basedOn w:val="DefaultParagraphFont"/>
    <w:link w:val="CommentText"/>
    <w:uiPriority w:val="99"/>
    <w:rsid w:val="00CB5DD2"/>
    <w:rPr>
      <w:kern w:val="0"/>
      <w:sz w:val="20"/>
      <w:szCs w:val="20"/>
      <w:lang w:val="en-US"/>
      <w14:ligatures w14:val="none"/>
    </w:rPr>
  </w:style>
  <w:style w:type="character" w:styleId="Hyperlink">
    <w:name w:val="Hyperlink"/>
    <w:basedOn w:val="DefaultParagraphFont"/>
    <w:uiPriority w:val="99"/>
    <w:unhideWhenUsed/>
    <w:rsid w:val="00CB5DD2"/>
    <w:rPr>
      <w:color w:val="467886" w:themeColor="hyperlink"/>
      <w:u w:val="single"/>
    </w:rPr>
  </w:style>
  <w:style w:type="table" w:styleId="TableGrid">
    <w:name w:val="Table Grid"/>
    <w:basedOn w:val="TableNormal"/>
    <w:uiPriority w:val="59"/>
    <w:rsid w:val="00CB5DD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2A4C"/>
    <w:pPr>
      <w:spacing w:line="240" w:lineRule="auto"/>
    </w:pPr>
    <w:rPr>
      <w:i/>
      <w:iCs/>
      <w:color w:val="0E2841" w:themeColor="text2"/>
      <w:sz w:val="18"/>
      <w:szCs w:val="18"/>
    </w:rPr>
  </w:style>
  <w:style w:type="paragraph" w:styleId="Header">
    <w:name w:val="header"/>
    <w:basedOn w:val="Normal"/>
    <w:link w:val="HeaderChar"/>
    <w:uiPriority w:val="99"/>
    <w:unhideWhenUsed/>
    <w:rsid w:val="00791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E9E"/>
    <w:rPr>
      <w:rFonts w:ascii="Calibri" w:hAnsi="Calibri"/>
      <w:kern w:val="0"/>
      <w:lang w:val="en-US"/>
      <w14:ligatures w14:val="none"/>
    </w:rPr>
  </w:style>
  <w:style w:type="paragraph" w:styleId="Footer">
    <w:name w:val="footer"/>
    <w:basedOn w:val="Normal"/>
    <w:link w:val="FooterChar"/>
    <w:uiPriority w:val="99"/>
    <w:unhideWhenUsed/>
    <w:rsid w:val="00791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E9E"/>
    <w:rPr>
      <w:rFonts w:ascii="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0584">
      <w:bodyDiv w:val="1"/>
      <w:marLeft w:val="0"/>
      <w:marRight w:val="0"/>
      <w:marTop w:val="0"/>
      <w:marBottom w:val="0"/>
      <w:divBdr>
        <w:top w:val="none" w:sz="0" w:space="0" w:color="auto"/>
        <w:left w:val="none" w:sz="0" w:space="0" w:color="auto"/>
        <w:bottom w:val="none" w:sz="0" w:space="0" w:color="auto"/>
        <w:right w:val="none" w:sz="0" w:space="0" w:color="auto"/>
      </w:divBdr>
    </w:div>
    <w:div w:id="2005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gdfmpd@worldban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BB9D-0B28-45D6-AED6-F777F248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12859</TotalTime>
  <Pages>21</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Blanchard</dc:creator>
  <cp:keywords/>
  <dc:description/>
  <cp:lastModifiedBy>Paul Baptiste Blanchard</cp:lastModifiedBy>
  <cp:revision>79</cp:revision>
  <dcterms:created xsi:type="dcterms:W3CDTF">2025-02-14T02:18:00Z</dcterms:created>
  <dcterms:modified xsi:type="dcterms:W3CDTF">2025-08-05T10:27:00Z</dcterms:modified>
</cp:coreProperties>
</file>