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top w:w="15" w:type="dxa"/>
          <w:left w:w="15" w:type="dxa"/>
          <w:bottom w:w="15" w:type="dxa"/>
          <w:right w:w="15" w:type="dxa"/>
        </w:tblCellMar>
        <w:tblLook w:val="04A0" w:firstRow="1" w:lastRow="0" w:firstColumn="1" w:lastColumn="0" w:noHBand="0" w:noVBand="1"/>
      </w:tblPr>
      <w:tblGrid>
        <w:gridCol w:w="2289"/>
        <w:gridCol w:w="719"/>
        <w:gridCol w:w="2039"/>
        <w:gridCol w:w="2579"/>
      </w:tblGrid>
      <w:tr w:rsidR="00561352" w:rsidRPr="00C25FCF" w14:paraId="46710DFF" w14:textId="77777777" w:rsidTr="005B1F7B">
        <w:trPr>
          <w:trHeight w:val="1185"/>
          <w:jc w:val="center"/>
        </w:trPr>
        <w:tc>
          <w:tcPr>
            <w:tcW w:w="0" w:type="auto"/>
            <w:hideMark/>
          </w:tcPr>
          <w:p w14:paraId="3973455D"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bookmarkStart w:id="0" w:name="_Hlk189069793"/>
            <w:r w:rsidRPr="00C25FCF">
              <w:rPr>
                <w:rFonts w:ascii="Arial" w:eastAsia="Times New Roman" w:hAnsi="Arial" w:cs="Arial"/>
                <w:noProof/>
                <w:color w:val="000000"/>
                <w:bdr w:val="none" w:sz="0" w:space="0" w:color="auto" w:frame="1"/>
                <w:lang w:eastAsia="en-IE"/>
              </w:rPr>
              <w:drawing>
                <wp:inline distT="0" distB="0" distL="0" distR="0" wp14:anchorId="172788F1" wp14:editId="62BD3C79">
                  <wp:extent cx="1416050" cy="406400"/>
                  <wp:effectExtent l="0" t="0" r="0" b="0"/>
                  <wp:docPr id="1146866627" name="Picture 8"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sign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0" cy="406400"/>
                          </a:xfrm>
                          <a:prstGeom prst="rect">
                            <a:avLst/>
                          </a:prstGeom>
                          <a:noFill/>
                          <a:ln>
                            <a:noFill/>
                          </a:ln>
                        </pic:spPr>
                      </pic:pic>
                    </a:graphicData>
                  </a:graphic>
                </wp:inline>
              </w:drawing>
            </w:r>
          </w:p>
          <w:p w14:paraId="1638C7BF"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1B539E64"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10C5CD45" wp14:editId="0F608558">
                  <wp:extent cx="368300" cy="368300"/>
                  <wp:effectExtent l="0" t="0" r="0" b="0"/>
                  <wp:docPr id="856476692" name="Picture 7" descr="A blue logo with a circle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logo with a circle and a glob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p w14:paraId="71F0180D"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22D78DA1"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04E83A11" wp14:editId="5C086163">
                  <wp:extent cx="1168400" cy="419100"/>
                  <wp:effectExtent l="0" t="0" r="0" b="0"/>
                  <wp:docPr id="1396332009" name="Picture 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0" cy="419100"/>
                          </a:xfrm>
                          <a:prstGeom prst="rect">
                            <a:avLst/>
                          </a:prstGeom>
                          <a:noFill/>
                          <a:ln>
                            <a:noFill/>
                          </a:ln>
                        </pic:spPr>
                      </pic:pic>
                    </a:graphicData>
                  </a:graphic>
                </wp:inline>
              </w:drawing>
            </w:r>
          </w:p>
          <w:p w14:paraId="42612A56"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24A1FEB5"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488CEA2E" wp14:editId="6100D108">
                  <wp:extent cx="1600200" cy="406400"/>
                  <wp:effectExtent l="0" t="0" r="0" b="0"/>
                  <wp:docPr id="1300782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406400"/>
                          </a:xfrm>
                          <a:prstGeom prst="rect">
                            <a:avLst/>
                          </a:prstGeom>
                          <a:noFill/>
                          <a:ln>
                            <a:noFill/>
                          </a:ln>
                        </pic:spPr>
                      </pic:pic>
                    </a:graphicData>
                  </a:graphic>
                </wp:inline>
              </w:drawing>
            </w:r>
          </w:p>
          <w:p w14:paraId="75B53AF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p w14:paraId="44A343E9"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r>
      <w:tr w:rsidR="00561352" w:rsidRPr="00C25FCF" w14:paraId="678771CE" w14:textId="77777777" w:rsidTr="005B1F7B">
        <w:trPr>
          <w:trHeight w:val="795"/>
          <w:jc w:val="center"/>
        </w:trPr>
        <w:tc>
          <w:tcPr>
            <w:tcW w:w="0" w:type="auto"/>
            <w:hideMark/>
          </w:tcPr>
          <w:p w14:paraId="7A32CCFF"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77601671" wp14:editId="3C49D487">
                  <wp:extent cx="1397000" cy="298450"/>
                  <wp:effectExtent l="0" t="0" r="0" b="6350"/>
                  <wp:docPr id="829923170"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0" cy="298450"/>
                          </a:xfrm>
                          <a:prstGeom prst="rect">
                            <a:avLst/>
                          </a:prstGeom>
                          <a:noFill/>
                          <a:ln>
                            <a:noFill/>
                          </a:ln>
                        </pic:spPr>
                      </pic:pic>
                    </a:graphicData>
                  </a:graphic>
                </wp:inline>
              </w:drawing>
            </w:r>
          </w:p>
          <w:p w14:paraId="09EF38EB"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3967409A"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776B1309" wp14:editId="190C044F">
                  <wp:extent cx="419100" cy="457200"/>
                  <wp:effectExtent l="0" t="0" r="0" b="0"/>
                  <wp:docPr id="1514313554" name="Picture 3" descr="A logo of the united nations statistics di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the united nations statistics divisi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4926146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54E8D588"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0B73ACDA" wp14:editId="00D57C3E">
                  <wp:extent cx="1250950" cy="260350"/>
                  <wp:effectExtent l="0" t="0" r="6350" b="6350"/>
                  <wp:docPr id="48282832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0950" cy="260350"/>
                          </a:xfrm>
                          <a:prstGeom prst="rect">
                            <a:avLst/>
                          </a:prstGeom>
                          <a:noFill/>
                          <a:ln>
                            <a:noFill/>
                          </a:ln>
                        </pic:spPr>
                      </pic:pic>
                    </a:graphicData>
                  </a:graphic>
                </wp:inline>
              </w:drawing>
            </w:r>
          </w:p>
          <w:p w14:paraId="0354ABC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624DF3C9"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6E04EE6C" wp14:editId="7343886C">
                  <wp:extent cx="1397000" cy="298450"/>
                  <wp:effectExtent l="0" t="0" r="0" b="6350"/>
                  <wp:docPr id="117855393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ue and white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000" cy="298450"/>
                          </a:xfrm>
                          <a:prstGeom prst="rect">
                            <a:avLst/>
                          </a:prstGeom>
                          <a:noFill/>
                          <a:ln>
                            <a:noFill/>
                          </a:ln>
                        </pic:spPr>
                      </pic:pic>
                    </a:graphicData>
                  </a:graphic>
                </wp:inline>
              </w:drawing>
            </w:r>
          </w:p>
          <w:p w14:paraId="638E5CB5"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r>
    </w:tbl>
    <w:p w14:paraId="5225D4CF" w14:textId="5470EA86" w:rsidR="00561352" w:rsidRPr="00C25FCF" w:rsidRDefault="00561352" w:rsidP="00561352">
      <w:pPr>
        <w:pBdr>
          <w:bottom w:val="single" w:sz="4" w:space="1" w:color="000000"/>
        </w:pBdr>
        <w:shd w:val="clear" w:color="auto" w:fill="FFFFFF"/>
        <w:spacing w:line="240" w:lineRule="auto"/>
        <w:jc w:val="left"/>
        <w:rPr>
          <w:rFonts w:ascii="Times New Roman" w:eastAsia="Times New Roman" w:hAnsi="Times New Roman" w:cs="Times New Roman"/>
          <w:sz w:val="24"/>
          <w:szCs w:val="24"/>
          <w:lang w:eastAsia="en-IE"/>
        </w:rPr>
      </w:pPr>
    </w:p>
    <w:p w14:paraId="1061F566" w14:textId="7EB753C8" w:rsidR="00561352" w:rsidRPr="00561352" w:rsidRDefault="00561352" w:rsidP="00561352">
      <w:pPr>
        <w:pStyle w:val="Title"/>
        <w:jc w:val="center"/>
        <w:rPr>
          <w:rFonts w:ascii="Times New Roman" w:eastAsia="Times New Roman" w:hAnsi="Times New Roman" w:cs="Times New Roman"/>
          <w:szCs w:val="40"/>
          <w:lang w:eastAsia="en-IE"/>
        </w:rPr>
      </w:pPr>
      <w:r w:rsidRPr="00561352">
        <w:rPr>
          <w:rFonts w:eastAsia="Times New Roman"/>
          <w:szCs w:val="40"/>
          <w:lang w:eastAsia="en-IE"/>
        </w:rPr>
        <w:t>Global Data Facility Mobile Phone Data Program (GDF-MPD)</w:t>
      </w:r>
    </w:p>
    <w:p w14:paraId="1910089F" w14:textId="02C3E0D2" w:rsidR="00561352" w:rsidRDefault="00561352" w:rsidP="00561352">
      <w:pPr>
        <w:pStyle w:val="Subtitle"/>
        <w:jc w:val="center"/>
        <w:rPr>
          <w:rFonts w:eastAsia="Times New Roman"/>
          <w:lang w:eastAsia="en-IE"/>
        </w:rPr>
      </w:pPr>
      <w:r>
        <w:rPr>
          <w:rFonts w:eastAsia="Times New Roman"/>
          <w:lang w:eastAsia="en-IE"/>
        </w:rPr>
        <w:t>Memorandum of Understanding template</w:t>
      </w:r>
      <w:r w:rsidR="00DF13FD">
        <w:rPr>
          <w:rFonts w:eastAsia="Times New Roman"/>
          <w:lang w:eastAsia="en-IE"/>
        </w:rPr>
        <w:t xml:space="preserve"> (English)</w:t>
      </w:r>
      <w:r>
        <w:rPr>
          <w:rFonts w:eastAsia="Times New Roman"/>
          <w:lang w:eastAsia="en-IE"/>
        </w:rPr>
        <w:t xml:space="preserve"> – Model </w:t>
      </w:r>
      <w:r w:rsidR="00624EB6">
        <w:rPr>
          <w:rFonts w:eastAsia="Times New Roman"/>
          <w:lang w:eastAsia="en-IE"/>
        </w:rPr>
        <w:t>A</w:t>
      </w:r>
      <w:r w:rsidR="00A30F43">
        <w:rPr>
          <w:rFonts w:eastAsia="Times New Roman"/>
          <w:lang w:eastAsia="en-IE"/>
        </w:rPr>
        <w:t xml:space="preserve"> (MoU-A</w:t>
      </w:r>
      <w:r w:rsidR="00A4471A">
        <w:rPr>
          <w:rFonts w:eastAsia="Times New Roman"/>
          <w:lang w:eastAsia="en-IE"/>
        </w:rPr>
        <w:t>B</w:t>
      </w:r>
      <w:r w:rsidR="00A30F43">
        <w:rPr>
          <w:rFonts w:eastAsia="Times New Roman"/>
          <w:lang w:eastAsia="en-IE"/>
        </w:rPr>
        <w:t>)</w:t>
      </w:r>
    </w:p>
    <w:p w14:paraId="6490EA22" w14:textId="2AB15F13" w:rsidR="00995801" w:rsidRDefault="00561352" w:rsidP="00561352">
      <w:pPr>
        <w:rPr>
          <w:lang w:eastAsia="en-IE"/>
        </w:rPr>
      </w:pPr>
      <w:r>
        <w:rPr>
          <w:lang w:eastAsia="en-IE"/>
        </w:rPr>
        <w:t>The following document provides a Memorandum of Understanding (MoU) template that can be used by World Bank task teams to support the elaboration of their country-specific MoU aimed at establishing a formal collaboration between relevant stakeholders for the use of Mobile Network Operator</w:t>
      </w:r>
      <w:r w:rsidR="00995801">
        <w:rPr>
          <w:lang w:eastAsia="en-IE"/>
        </w:rPr>
        <w:t xml:space="preserve"> (MNO)</w:t>
      </w:r>
      <w:r>
        <w:rPr>
          <w:lang w:eastAsia="en-IE"/>
        </w:rPr>
        <w:t xml:space="preserve"> data for statistical purposes and to support policymaking. </w:t>
      </w:r>
    </w:p>
    <w:p w14:paraId="545C91DB" w14:textId="1A3B1FE1" w:rsidR="00561352" w:rsidRDefault="00561352" w:rsidP="00561352">
      <w:pPr>
        <w:rPr>
          <w:lang w:eastAsia="en-IE"/>
        </w:rPr>
      </w:pPr>
      <w:r w:rsidRPr="00995801">
        <w:rPr>
          <w:b/>
          <w:bCs/>
          <w:lang w:eastAsia="en-IE"/>
        </w:rPr>
        <w:t xml:space="preserve">The template is specifically designed for </w:t>
      </w:r>
      <w:r w:rsidR="00995801" w:rsidRPr="00995801">
        <w:rPr>
          <w:b/>
          <w:bCs/>
          <w:lang w:eastAsia="en-IE"/>
        </w:rPr>
        <w:t>data pipeline models where raw MNO data</w:t>
      </w:r>
      <w:r w:rsidR="00703BCC">
        <w:rPr>
          <w:b/>
          <w:bCs/>
          <w:lang w:eastAsia="en-IE"/>
        </w:rPr>
        <w:t xml:space="preserve"> (</w:t>
      </w:r>
      <w:r w:rsidR="00624EB6">
        <w:rPr>
          <w:b/>
          <w:bCs/>
          <w:lang w:eastAsia="en-IE"/>
        </w:rPr>
        <w:t xml:space="preserve">i.e. Tier I </w:t>
      </w:r>
      <w:r w:rsidR="00703BCC">
        <w:rPr>
          <w:b/>
          <w:bCs/>
          <w:lang w:eastAsia="en-IE"/>
        </w:rPr>
        <w:t>“nano” data</w:t>
      </w:r>
      <w:r w:rsidR="002A44D3">
        <w:rPr>
          <w:b/>
          <w:bCs/>
          <w:lang w:eastAsia="en-IE"/>
        </w:rPr>
        <w:t>, for instance, raw Call Detail Records</w:t>
      </w:r>
      <w:r w:rsidR="00703BCC">
        <w:rPr>
          <w:b/>
          <w:bCs/>
          <w:lang w:eastAsia="en-IE"/>
        </w:rPr>
        <w:t>)</w:t>
      </w:r>
      <w:r w:rsidR="00995801" w:rsidRPr="00995801">
        <w:rPr>
          <w:b/>
          <w:bCs/>
          <w:lang w:eastAsia="en-IE"/>
        </w:rPr>
        <w:t xml:space="preserve"> are </w:t>
      </w:r>
      <w:r w:rsidR="00A4471A">
        <w:rPr>
          <w:b/>
          <w:bCs/>
          <w:lang w:eastAsia="en-IE"/>
        </w:rPr>
        <w:t xml:space="preserve">stored and </w:t>
      </w:r>
      <w:r w:rsidR="00703BCC">
        <w:rPr>
          <w:b/>
          <w:bCs/>
          <w:lang w:eastAsia="en-IE"/>
        </w:rPr>
        <w:t>processed</w:t>
      </w:r>
      <w:r w:rsidR="00D91D50">
        <w:rPr>
          <w:b/>
          <w:bCs/>
          <w:lang w:eastAsia="en-IE"/>
        </w:rPr>
        <w:t xml:space="preserve"> </w:t>
      </w:r>
      <w:r w:rsidR="00A4471A">
        <w:rPr>
          <w:b/>
          <w:bCs/>
          <w:lang w:eastAsia="en-IE"/>
        </w:rPr>
        <w:t>on</w:t>
      </w:r>
      <w:r w:rsidR="00703BCC">
        <w:rPr>
          <w:b/>
          <w:bCs/>
          <w:lang w:eastAsia="en-IE"/>
        </w:rPr>
        <w:t xml:space="preserve"> MNOs</w:t>
      </w:r>
      <w:r w:rsidR="00A4471A">
        <w:rPr>
          <w:b/>
          <w:bCs/>
          <w:lang w:eastAsia="en-IE"/>
        </w:rPr>
        <w:t>’ infrastructure</w:t>
      </w:r>
      <w:r w:rsidR="00695170">
        <w:rPr>
          <w:b/>
          <w:bCs/>
          <w:lang w:eastAsia="en-IE"/>
        </w:rPr>
        <w:t xml:space="preserve">, with </w:t>
      </w:r>
      <w:r w:rsidR="00567407">
        <w:rPr>
          <w:b/>
          <w:bCs/>
          <w:lang w:eastAsia="en-IE"/>
        </w:rPr>
        <w:t>the National Statistical Office granted a secure access to MNO’s servers to process Tier I data</w:t>
      </w:r>
      <w:r w:rsidR="00703BCC">
        <w:rPr>
          <w:b/>
          <w:bCs/>
          <w:lang w:eastAsia="en-IE"/>
        </w:rPr>
        <w:t xml:space="preserve">. </w:t>
      </w:r>
      <w:r w:rsidR="00567407">
        <w:rPr>
          <w:b/>
          <w:bCs/>
          <w:lang w:eastAsia="en-IE"/>
        </w:rPr>
        <w:t>This arrangement shares attributes with both model A and model B, in that Tier I MNO data remain on MNOs</w:t>
      </w:r>
      <w:r w:rsidR="00BF58A3">
        <w:rPr>
          <w:b/>
          <w:bCs/>
          <w:lang w:eastAsia="en-IE"/>
        </w:rPr>
        <w:t>’</w:t>
      </w:r>
      <w:r w:rsidR="00567407">
        <w:rPr>
          <w:b/>
          <w:bCs/>
          <w:lang w:eastAsia="en-IE"/>
        </w:rPr>
        <w:t xml:space="preserve"> premise</w:t>
      </w:r>
      <w:r w:rsidR="00BF58A3">
        <w:rPr>
          <w:b/>
          <w:bCs/>
          <w:lang w:eastAsia="en-IE"/>
        </w:rPr>
        <w:t>s</w:t>
      </w:r>
      <w:r w:rsidR="00567407">
        <w:rPr>
          <w:b/>
          <w:bCs/>
          <w:lang w:eastAsia="en-IE"/>
        </w:rPr>
        <w:t xml:space="preserve">, but the NSO </w:t>
      </w:r>
      <w:r w:rsidR="00695170">
        <w:rPr>
          <w:b/>
          <w:bCs/>
          <w:lang w:eastAsia="en-IE"/>
        </w:rPr>
        <w:t>is in</w:t>
      </w:r>
      <w:r w:rsidR="00567407">
        <w:rPr>
          <w:b/>
          <w:bCs/>
          <w:lang w:eastAsia="en-IE"/>
        </w:rPr>
        <w:t xml:space="preserve"> charge of the entire processing workflow, so that this model is referred </w:t>
      </w:r>
      <w:r w:rsidR="00695170">
        <w:rPr>
          <w:b/>
          <w:bCs/>
          <w:lang w:eastAsia="en-IE"/>
        </w:rPr>
        <w:t xml:space="preserve">to </w:t>
      </w:r>
      <w:r w:rsidR="00567407">
        <w:rPr>
          <w:b/>
          <w:bCs/>
          <w:lang w:eastAsia="en-IE"/>
        </w:rPr>
        <w:t xml:space="preserve">as </w:t>
      </w:r>
      <w:r w:rsidR="00695170">
        <w:rPr>
          <w:b/>
          <w:bCs/>
          <w:lang w:eastAsia="en-IE"/>
        </w:rPr>
        <w:t>“</w:t>
      </w:r>
      <w:r w:rsidR="00567407">
        <w:rPr>
          <w:b/>
          <w:bCs/>
          <w:lang w:eastAsia="en-IE"/>
        </w:rPr>
        <w:t>hybrid</w:t>
      </w:r>
      <w:r w:rsidR="00695170">
        <w:rPr>
          <w:b/>
          <w:bCs/>
          <w:lang w:eastAsia="en-IE"/>
        </w:rPr>
        <w:t>”</w:t>
      </w:r>
      <w:r w:rsidR="00567407">
        <w:rPr>
          <w:b/>
          <w:bCs/>
          <w:lang w:eastAsia="en-IE"/>
        </w:rPr>
        <w:t xml:space="preserve"> </w:t>
      </w:r>
      <w:r w:rsidR="00995801" w:rsidRPr="00995801">
        <w:rPr>
          <w:b/>
          <w:bCs/>
          <w:lang w:eastAsia="en-IE"/>
        </w:rPr>
        <w:t xml:space="preserve">(Model </w:t>
      </w:r>
      <w:r w:rsidR="00703BCC">
        <w:rPr>
          <w:b/>
          <w:bCs/>
          <w:lang w:eastAsia="en-IE"/>
        </w:rPr>
        <w:t>A</w:t>
      </w:r>
      <w:r w:rsidR="00567407">
        <w:rPr>
          <w:b/>
          <w:bCs/>
          <w:lang w:eastAsia="en-IE"/>
        </w:rPr>
        <w:t>B</w:t>
      </w:r>
      <w:r w:rsidR="00BF58A3">
        <w:rPr>
          <w:b/>
          <w:bCs/>
          <w:lang w:eastAsia="en-IE"/>
        </w:rPr>
        <w:t xml:space="preserve">). </w:t>
      </w:r>
      <w:r w:rsidR="00442A4C" w:rsidRPr="0047083E">
        <w:rPr>
          <w:lang w:eastAsia="en-IE"/>
        </w:rPr>
        <w:t>Figure 1 below</w:t>
      </w:r>
      <w:r w:rsidR="00BF58A3" w:rsidRPr="0047083E">
        <w:rPr>
          <w:lang w:eastAsia="en-IE"/>
        </w:rPr>
        <w:t xml:space="preserve"> </w:t>
      </w:r>
      <w:r w:rsidR="0047083E">
        <w:rPr>
          <w:lang w:eastAsia="en-IE"/>
        </w:rPr>
        <w:t>illustrates</w:t>
      </w:r>
      <w:r w:rsidR="00BF58A3" w:rsidRPr="0047083E">
        <w:rPr>
          <w:lang w:eastAsia="en-IE"/>
        </w:rPr>
        <w:t xml:space="preserve"> the architecture of the proposed data pipeline</w:t>
      </w:r>
      <w:r w:rsidR="0047083E">
        <w:rPr>
          <w:lang w:eastAsia="en-IE"/>
        </w:rPr>
        <w:t>, along with the institutional elements that are formalized in this template</w:t>
      </w:r>
      <w:r w:rsidR="00995801" w:rsidRPr="0047083E">
        <w:rPr>
          <w:lang w:eastAsia="en-IE"/>
        </w:rPr>
        <w:t>.</w:t>
      </w:r>
      <w:r w:rsidR="00995801">
        <w:rPr>
          <w:lang w:eastAsia="en-IE"/>
        </w:rPr>
        <w:t xml:space="preserve"> </w:t>
      </w:r>
      <w:r w:rsidR="0047083E">
        <w:rPr>
          <w:lang w:eastAsia="en-IE"/>
        </w:rPr>
        <w:t>Moreover</w:t>
      </w:r>
      <w:r w:rsidR="00703BCC">
        <w:rPr>
          <w:lang w:eastAsia="en-IE"/>
        </w:rPr>
        <w:t xml:space="preserve">, this data pipeline model </w:t>
      </w:r>
      <w:r w:rsidR="00D91D50">
        <w:rPr>
          <w:lang w:eastAsia="en-IE"/>
        </w:rPr>
        <w:t>accommodates the involvement</w:t>
      </w:r>
      <w:r w:rsidR="00703BCC">
        <w:rPr>
          <w:lang w:eastAsia="en-IE"/>
        </w:rPr>
        <w:t xml:space="preserve"> of an external technical partner</w:t>
      </w:r>
      <w:r w:rsidR="00D91D50">
        <w:rPr>
          <w:lang w:eastAsia="en-IE"/>
        </w:rPr>
        <w:t xml:space="preserve">, who may be granted access to </w:t>
      </w:r>
      <w:r w:rsidR="00703BCC">
        <w:rPr>
          <w:lang w:eastAsia="en-IE"/>
        </w:rPr>
        <w:t>Tier I</w:t>
      </w:r>
      <w:r w:rsidR="00695170">
        <w:rPr>
          <w:lang w:eastAsia="en-IE"/>
        </w:rPr>
        <w:t xml:space="preserve"> data</w:t>
      </w:r>
      <w:r w:rsidR="00703BCC">
        <w:rPr>
          <w:lang w:eastAsia="en-IE"/>
        </w:rPr>
        <w:t xml:space="preserve"> to </w:t>
      </w:r>
      <w:r w:rsidR="00D91D50">
        <w:rPr>
          <w:lang w:eastAsia="en-IE"/>
        </w:rPr>
        <w:t>assist</w:t>
      </w:r>
      <w:r w:rsidR="00703BCC">
        <w:rPr>
          <w:lang w:eastAsia="en-IE"/>
        </w:rPr>
        <w:t xml:space="preserve"> the government </w:t>
      </w:r>
      <w:r w:rsidR="00D91D50">
        <w:rPr>
          <w:lang w:eastAsia="en-IE"/>
        </w:rPr>
        <w:t xml:space="preserve">in generating statistics </w:t>
      </w:r>
      <w:r w:rsidR="00695170">
        <w:rPr>
          <w:lang w:eastAsia="en-IE"/>
        </w:rPr>
        <w:t>and relevant indicators</w:t>
      </w:r>
      <w:r w:rsidR="00703BCC">
        <w:rPr>
          <w:lang w:eastAsia="en-IE"/>
        </w:rPr>
        <w:t xml:space="preserve">. </w:t>
      </w:r>
      <w:r w:rsidR="00567407">
        <w:rPr>
          <w:lang w:eastAsia="en-IE"/>
        </w:rPr>
        <w:t xml:space="preserve">Similar to model A, </w:t>
      </w:r>
      <w:r w:rsidR="00695170">
        <w:rPr>
          <w:lang w:eastAsia="en-IE"/>
        </w:rPr>
        <w:t>i</w:t>
      </w:r>
      <w:r w:rsidR="00703BCC">
        <w:rPr>
          <w:lang w:eastAsia="en-IE"/>
        </w:rPr>
        <w:t xml:space="preserve">t also includes optional provisions </w:t>
      </w:r>
      <w:r w:rsidR="00D91D50" w:rsidRPr="00D91D50">
        <w:rPr>
          <w:lang w:eastAsia="en-IE"/>
        </w:rPr>
        <w:t xml:space="preserve">to enable research collaboration and knowledge exchange among MNOs, the NSO, and a technical partner. </w:t>
      </w:r>
      <w:r w:rsidR="00D91D50">
        <w:rPr>
          <w:lang w:eastAsia="en-IE"/>
        </w:rPr>
        <w:t>However, any</w:t>
      </w:r>
      <w:r w:rsidR="00D91D50" w:rsidRPr="00D91D50">
        <w:rPr>
          <w:lang w:eastAsia="en-IE"/>
        </w:rPr>
        <w:t xml:space="preserve"> such collaboration </w:t>
      </w:r>
      <w:r w:rsidR="00624EB6">
        <w:rPr>
          <w:lang w:eastAsia="en-IE"/>
        </w:rPr>
        <w:t>would</w:t>
      </w:r>
      <w:r w:rsidR="00D91D50" w:rsidRPr="00D91D50">
        <w:rPr>
          <w:lang w:eastAsia="en-IE"/>
        </w:rPr>
        <w:t xml:space="preserve"> be established through a separate and dedicated Memorandum of Understanding</w:t>
      </w:r>
      <w:r w:rsidR="00995801">
        <w:rPr>
          <w:lang w:eastAsia="en-IE"/>
        </w:rPr>
        <w:t>.</w:t>
      </w:r>
      <w:r w:rsidR="00D91D50">
        <w:rPr>
          <w:lang w:eastAsia="en-IE"/>
        </w:rPr>
        <w:t xml:space="preserve"> T</w:t>
      </w:r>
      <w:r w:rsidR="00FB4D24">
        <w:rPr>
          <w:lang w:eastAsia="en-IE"/>
        </w:rPr>
        <w:t>he template</w:t>
      </w:r>
      <w:r w:rsidR="00995801">
        <w:rPr>
          <w:lang w:eastAsia="en-IE"/>
        </w:rPr>
        <w:t xml:space="preserve"> should always be adjusted and adapted to country-specific needs and context. </w:t>
      </w:r>
      <w:bookmarkStart w:id="1" w:name="_Hlk200113491"/>
      <w:r w:rsidR="00FB4D24">
        <w:rPr>
          <w:lang w:eastAsia="en-IE"/>
        </w:rPr>
        <w:t xml:space="preserve">It is important to note that this document is </w:t>
      </w:r>
      <w:r w:rsidR="00791E9E">
        <w:rPr>
          <w:lang w:eastAsia="en-IE"/>
        </w:rPr>
        <w:t xml:space="preserve">only </w:t>
      </w:r>
      <w:r w:rsidR="00FB4D24">
        <w:rPr>
          <w:lang w:eastAsia="en-IE"/>
        </w:rPr>
        <w:t xml:space="preserve">intended to provide a general structure with key elements allowing to </w:t>
      </w:r>
      <w:r w:rsidR="003B6246">
        <w:rPr>
          <w:lang w:eastAsia="en-IE"/>
        </w:rPr>
        <w:t>establish</w:t>
      </w:r>
      <w:r w:rsidR="00FB4D24">
        <w:rPr>
          <w:lang w:eastAsia="en-IE"/>
        </w:rPr>
        <w:t xml:space="preserve"> a robust and sustainable data pipeline</w:t>
      </w:r>
      <w:r w:rsidR="00BF58A3">
        <w:rPr>
          <w:lang w:eastAsia="en-IE"/>
        </w:rPr>
        <w:t xml:space="preserve">. </w:t>
      </w:r>
      <w:r w:rsidR="002D246E" w:rsidRPr="002D246E">
        <w:rPr>
          <w:lang w:eastAsia="en-IE"/>
        </w:rPr>
        <w:t>Any draft MoU developed from this template should be reviewed by the legal experts of the parties involved prior to signing</w:t>
      </w:r>
      <w:bookmarkEnd w:id="1"/>
      <w:r w:rsidR="00FB4D24">
        <w:rPr>
          <w:lang w:eastAsia="en-IE"/>
        </w:rPr>
        <w:t>.</w:t>
      </w:r>
    </w:p>
    <w:p w14:paraId="1FC80F07" w14:textId="10DA77DA" w:rsidR="00995801" w:rsidRDefault="002543C6" w:rsidP="00561352">
      <w:pPr>
        <w:rPr>
          <w:lang w:eastAsia="en-IE"/>
        </w:rPr>
      </w:pPr>
      <w:r>
        <w:rPr>
          <w:lang w:eastAsia="en-IE"/>
        </w:rPr>
        <w:t xml:space="preserve">Text in </w:t>
      </w:r>
      <w:r w:rsidRPr="00FB4D24">
        <w:rPr>
          <w:i/>
          <w:iCs/>
          <w:color w:val="BF4E14" w:themeColor="accent2" w:themeShade="BF"/>
          <w:lang w:eastAsia="en-IE"/>
        </w:rPr>
        <w:t>[orange]</w:t>
      </w:r>
      <w:r>
        <w:rPr>
          <w:lang w:eastAsia="en-IE"/>
        </w:rPr>
        <w:t xml:space="preserve"> in the document </w:t>
      </w:r>
      <w:r w:rsidR="003B6246">
        <w:rPr>
          <w:lang w:eastAsia="en-IE"/>
        </w:rPr>
        <w:t>must</w:t>
      </w:r>
      <w:r>
        <w:rPr>
          <w:lang w:eastAsia="en-IE"/>
        </w:rPr>
        <w:t xml:space="preserve"> be </w:t>
      </w:r>
      <w:r w:rsidR="00FB4D24">
        <w:rPr>
          <w:lang w:eastAsia="en-IE"/>
        </w:rPr>
        <w:t>replaced</w:t>
      </w:r>
      <w:r>
        <w:rPr>
          <w:lang w:eastAsia="en-IE"/>
        </w:rPr>
        <w:t xml:space="preserve"> with relevant information from the country context of interest. Example</w:t>
      </w:r>
      <w:r w:rsidR="00FB4D24">
        <w:rPr>
          <w:lang w:eastAsia="en-IE"/>
        </w:rPr>
        <w:t>s</w:t>
      </w:r>
      <w:r>
        <w:rPr>
          <w:lang w:eastAsia="en-IE"/>
        </w:rPr>
        <w:t xml:space="preserve"> are occasionally </w:t>
      </w:r>
      <w:r w:rsidR="00FB4D24">
        <w:rPr>
          <w:lang w:eastAsia="en-IE"/>
        </w:rPr>
        <w:t xml:space="preserve">provided in </w:t>
      </w:r>
      <w:r w:rsidR="00FB4D24" w:rsidRPr="00FB4D24">
        <w:rPr>
          <w:i/>
          <w:iCs/>
          <w:color w:val="3A7C22" w:themeColor="accent6" w:themeShade="BF"/>
          <w:lang w:eastAsia="en-IE"/>
        </w:rPr>
        <w:t>green</w:t>
      </w:r>
      <w:r w:rsidR="00FB4D24" w:rsidRPr="00FB4D24">
        <w:rPr>
          <w:color w:val="3A7C22" w:themeColor="accent6" w:themeShade="BF"/>
          <w:lang w:eastAsia="en-IE"/>
        </w:rPr>
        <w:t xml:space="preserve"> </w:t>
      </w:r>
      <w:r w:rsidR="00FB4D24">
        <w:rPr>
          <w:lang w:eastAsia="en-IE"/>
        </w:rPr>
        <w:t xml:space="preserve">and may be used or adapted to the country context. </w:t>
      </w:r>
      <w:r w:rsidR="00A81CB0">
        <w:rPr>
          <w:lang w:eastAsia="en-IE"/>
        </w:rPr>
        <w:t xml:space="preserve">Notes are provided in </w:t>
      </w:r>
      <w:r w:rsidR="00A81CB0" w:rsidRPr="00A81CB0">
        <w:rPr>
          <w:i/>
          <w:iCs/>
          <w:color w:val="0070C0"/>
          <w:lang w:eastAsia="en-IE"/>
        </w:rPr>
        <w:t>[blue]</w:t>
      </w:r>
      <w:r w:rsidR="00A81CB0">
        <w:rPr>
          <w:lang w:eastAsia="en-IE"/>
        </w:rPr>
        <w:t xml:space="preserve"> for informational purposes but should be removed in the final version of the MoU.</w:t>
      </w:r>
    </w:p>
    <w:p w14:paraId="0A202EAC" w14:textId="77777777" w:rsidR="000906F8" w:rsidRDefault="000906F8" w:rsidP="000906F8">
      <w:pPr>
        <w:rPr>
          <w:lang w:eastAsia="en-IE"/>
        </w:rPr>
      </w:pPr>
      <w:r w:rsidRPr="00A043D1">
        <w:rPr>
          <w:lang w:eastAsia="en-IE"/>
        </w:rPr>
        <w:t xml:space="preserve">For any questions or inquiries, please contact the GDF-MPD team </w:t>
      </w:r>
      <w:r>
        <w:rPr>
          <w:lang w:eastAsia="en-IE"/>
        </w:rPr>
        <w:t xml:space="preserve">at </w:t>
      </w:r>
      <w:hyperlink r:id="rId16" w:history="1">
        <w:r w:rsidRPr="00484729">
          <w:rPr>
            <w:rStyle w:val="Hyperlink"/>
            <w:lang w:eastAsia="en-IE"/>
          </w:rPr>
          <w:t>gdfmpd@worldbank.org</w:t>
        </w:r>
      </w:hyperlink>
      <w:r>
        <w:rPr>
          <w:lang w:eastAsia="en-IE"/>
        </w:rPr>
        <w:t>.</w:t>
      </w:r>
    </w:p>
    <w:p w14:paraId="07D2DEF3" w14:textId="031C961E" w:rsidR="00442A4C" w:rsidRDefault="00442A4C" w:rsidP="00442A4C">
      <w:pPr>
        <w:pStyle w:val="Caption"/>
        <w:keepNext/>
        <w:spacing w:after="0"/>
      </w:pPr>
      <w:r w:rsidRPr="0047083E">
        <w:rPr>
          <w:sz w:val="20"/>
          <w:szCs w:val="20"/>
        </w:rPr>
        <w:lastRenderedPageBreak/>
        <w:t xml:space="preserve">Figure </w:t>
      </w:r>
      <w:r w:rsidRPr="0047083E">
        <w:rPr>
          <w:sz w:val="20"/>
          <w:szCs w:val="20"/>
        </w:rPr>
        <w:fldChar w:fldCharType="begin"/>
      </w:r>
      <w:r w:rsidRPr="0047083E">
        <w:rPr>
          <w:sz w:val="20"/>
          <w:szCs w:val="20"/>
        </w:rPr>
        <w:instrText xml:space="preserve"> SEQ Figure \* ARABIC </w:instrText>
      </w:r>
      <w:r w:rsidRPr="0047083E">
        <w:rPr>
          <w:sz w:val="20"/>
          <w:szCs w:val="20"/>
        </w:rPr>
        <w:fldChar w:fldCharType="separate"/>
      </w:r>
      <w:r w:rsidRPr="0047083E">
        <w:rPr>
          <w:noProof/>
          <w:sz w:val="20"/>
          <w:szCs w:val="20"/>
        </w:rPr>
        <w:t>1</w:t>
      </w:r>
      <w:r w:rsidRPr="0047083E">
        <w:rPr>
          <w:sz w:val="20"/>
          <w:szCs w:val="20"/>
        </w:rPr>
        <w:fldChar w:fldCharType="end"/>
      </w:r>
      <w:r w:rsidRPr="0047083E">
        <w:rPr>
          <w:sz w:val="20"/>
          <w:szCs w:val="20"/>
        </w:rPr>
        <w:t xml:space="preserve">. </w:t>
      </w:r>
      <w:r w:rsidR="0047083E" w:rsidRPr="0047083E">
        <w:rPr>
          <w:sz w:val="20"/>
          <w:szCs w:val="20"/>
        </w:rPr>
        <w:t>Institutionalization of d</w:t>
      </w:r>
      <w:r w:rsidRPr="0047083E">
        <w:rPr>
          <w:sz w:val="20"/>
          <w:szCs w:val="20"/>
        </w:rPr>
        <w:t>ata pipeline</w:t>
      </w:r>
      <w:r w:rsidR="00A63388" w:rsidRPr="00A63388">
        <w:rPr>
          <w:sz w:val="20"/>
          <w:szCs w:val="20"/>
        </w:rPr>
        <w:t xml:space="preserve"> </w:t>
      </w:r>
      <w:r w:rsidR="00A63388" w:rsidRPr="0047083E">
        <w:rPr>
          <w:sz w:val="20"/>
          <w:szCs w:val="20"/>
        </w:rPr>
        <w:t>model AB</w:t>
      </w:r>
      <w:r w:rsidRPr="0047083E">
        <w:rPr>
          <w:sz w:val="20"/>
          <w:szCs w:val="20"/>
        </w:rPr>
        <w:t>.</w:t>
      </w:r>
    </w:p>
    <w:tbl>
      <w:tblPr>
        <w:tblStyle w:val="TableGrid"/>
        <w:tblW w:w="0" w:type="auto"/>
        <w:tblLook w:val="04A0" w:firstRow="1" w:lastRow="0" w:firstColumn="1" w:lastColumn="0" w:noHBand="0" w:noVBand="1"/>
      </w:tblPr>
      <w:tblGrid>
        <w:gridCol w:w="9350"/>
      </w:tblGrid>
      <w:tr w:rsidR="00442A4C" w14:paraId="14475EBA" w14:textId="77777777" w:rsidTr="00442A4C">
        <w:tc>
          <w:tcPr>
            <w:tcW w:w="0" w:type="auto"/>
          </w:tcPr>
          <w:p w14:paraId="5211B8EF" w14:textId="0BBBEE11" w:rsidR="00442A4C" w:rsidRDefault="0035792A" w:rsidP="00BF58A3">
            <w:pPr>
              <w:spacing w:before="240"/>
              <w:rPr>
                <w:lang w:eastAsia="en-IE"/>
              </w:rPr>
            </w:pPr>
            <w:r>
              <w:rPr>
                <w:noProof/>
                <w:lang w:eastAsia="en-IE"/>
              </w:rPr>
              <w:drawing>
                <wp:inline distT="0" distB="0" distL="0" distR="0" wp14:anchorId="12072791" wp14:editId="51458671">
                  <wp:extent cx="5832000" cy="1710321"/>
                  <wp:effectExtent l="0" t="0" r="0" b="4445"/>
                  <wp:docPr id="3311133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2000" cy="1710321"/>
                          </a:xfrm>
                          <a:prstGeom prst="rect">
                            <a:avLst/>
                          </a:prstGeom>
                          <a:noFill/>
                        </pic:spPr>
                      </pic:pic>
                    </a:graphicData>
                  </a:graphic>
                </wp:inline>
              </w:drawing>
            </w:r>
          </w:p>
          <w:p w14:paraId="48A2453F" w14:textId="6014F267" w:rsidR="0047083E" w:rsidRPr="0047083E" w:rsidRDefault="0047083E" w:rsidP="0047083E">
            <w:pPr>
              <w:pStyle w:val="ListParagraph"/>
              <w:numPr>
                <w:ilvl w:val="0"/>
                <w:numId w:val="17"/>
              </w:numPr>
              <w:spacing w:before="240"/>
              <w:jc w:val="center"/>
              <w:rPr>
                <w:i/>
                <w:iCs/>
                <w:lang w:eastAsia="en-IE"/>
              </w:rPr>
            </w:pPr>
            <w:r w:rsidRPr="0047083E">
              <w:rPr>
                <w:i/>
                <w:iCs/>
                <w:lang w:eastAsia="en-IE"/>
              </w:rPr>
              <w:t>Government channel</w:t>
            </w:r>
          </w:p>
        </w:tc>
      </w:tr>
      <w:tr w:rsidR="00BF58A3" w14:paraId="3DA401ED" w14:textId="77777777" w:rsidTr="00442A4C">
        <w:tc>
          <w:tcPr>
            <w:tcW w:w="0" w:type="auto"/>
          </w:tcPr>
          <w:p w14:paraId="4BC54A58" w14:textId="3D88E5C5" w:rsidR="00BF58A3" w:rsidRDefault="0035792A" w:rsidP="00BF58A3">
            <w:pPr>
              <w:spacing w:before="240"/>
              <w:rPr>
                <w:noProof/>
                <w:lang w:eastAsia="en-IE"/>
              </w:rPr>
            </w:pPr>
            <w:r>
              <w:rPr>
                <w:noProof/>
                <w:lang w:eastAsia="en-IE"/>
              </w:rPr>
              <w:drawing>
                <wp:inline distT="0" distB="0" distL="0" distR="0" wp14:anchorId="7C564406" wp14:editId="6CA000A4">
                  <wp:extent cx="5832000" cy="1698306"/>
                  <wp:effectExtent l="0" t="0" r="0" b="0"/>
                  <wp:docPr id="10713924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32000" cy="1698306"/>
                          </a:xfrm>
                          <a:prstGeom prst="rect">
                            <a:avLst/>
                          </a:prstGeom>
                          <a:noFill/>
                        </pic:spPr>
                      </pic:pic>
                    </a:graphicData>
                  </a:graphic>
                </wp:inline>
              </w:drawing>
            </w:r>
          </w:p>
          <w:p w14:paraId="582279B5" w14:textId="7EE2CAC8" w:rsidR="0047083E" w:rsidRPr="0047083E" w:rsidRDefault="0047083E" w:rsidP="0047083E">
            <w:pPr>
              <w:pStyle w:val="ListParagraph"/>
              <w:numPr>
                <w:ilvl w:val="0"/>
                <w:numId w:val="17"/>
              </w:numPr>
              <w:spacing w:before="240"/>
              <w:jc w:val="center"/>
              <w:rPr>
                <w:i/>
                <w:iCs/>
                <w:noProof/>
                <w:lang w:eastAsia="en-IE"/>
              </w:rPr>
            </w:pPr>
            <w:r w:rsidRPr="0047083E">
              <w:rPr>
                <w:i/>
                <w:iCs/>
                <w:noProof/>
                <w:lang w:eastAsia="en-IE"/>
              </w:rPr>
              <w:t>External technical partner channel</w:t>
            </w:r>
          </w:p>
        </w:tc>
      </w:tr>
      <w:tr w:rsidR="0047083E" w14:paraId="04C69EA2" w14:textId="77777777" w:rsidTr="00442A4C">
        <w:tc>
          <w:tcPr>
            <w:tcW w:w="0" w:type="auto"/>
          </w:tcPr>
          <w:p w14:paraId="75F5298A" w14:textId="72E368A7" w:rsidR="0047083E" w:rsidRDefault="005D410A" w:rsidP="00BF58A3">
            <w:pPr>
              <w:spacing w:before="240"/>
              <w:rPr>
                <w:noProof/>
                <w:lang w:eastAsia="en-IE"/>
              </w:rPr>
            </w:pPr>
            <w:r>
              <w:rPr>
                <w:noProof/>
                <w:lang w:eastAsia="en-IE"/>
              </w:rPr>
              <w:drawing>
                <wp:inline distT="0" distB="0" distL="0" distR="0" wp14:anchorId="73213F9A" wp14:editId="051408BD">
                  <wp:extent cx="5832000" cy="1737821"/>
                  <wp:effectExtent l="0" t="0" r="0" b="0"/>
                  <wp:docPr id="887459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32000" cy="1737821"/>
                          </a:xfrm>
                          <a:prstGeom prst="rect">
                            <a:avLst/>
                          </a:prstGeom>
                          <a:noFill/>
                        </pic:spPr>
                      </pic:pic>
                    </a:graphicData>
                  </a:graphic>
                </wp:inline>
              </w:drawing>
            </w:r>
          </w:p>
          <w:p w14:paraId="11BFC3C9" w14:textId="3345DB08" w:rsidR="0047083E" w:rsidRPr="0047083E" w:rsidRDefault="0047083E" w:rsidP="0047083E">
            <w:pPr>
              <w:pStyle w:val="ListParagraph"/>
              <w:numPr>
                <w:ilvl w:val="0"/>
                <w:numId w:val="17"/>
              </w:numPr>
              <w:spacing w:before="240"/>
              <w:rPr>
                <w:i/>
                <w:iCs/>
                <w:noProof/>
                <w:lang w:eastAsia="en-IE"/>
              </w:rPr>
            </w:pPr>
            <w:r w:rsidRPr="0047083E">
              <w:rPr>
                <w:i/>
                <w:iCs/>
                <w:noProof/>
                <w:lang w:eastAsia="en-IE"/>
              </w:rPr>
              <w:t>Special channel for applications involving the pairing of MNO data with survey microdata</w:t>
            </w:r>
          </w:p>
        </w:tc>
      </w:tr>
    </w:tbl>
    <w:p w14:paraId="5680B241" w14:textId="77777777" w:rsidR="00562685" w:rsidRDefault="00562685">
      <w:pPr>
        <w:spacing w:after="160" w:line="259" w:lineRule="auto"/>
        <w:jc w:val="left"/>
        <w:rPr>
          <w:b/>
          <w:bCs/>
        </w:rPr>
      </w:pPr>
      <w:r>
        <w:rPr>
          <w:b/>
          <w:bCs/>
        </w:rPr>
        <w:br w:type="page"/>
      </w:r>
    </w:p>
    <w:p w14:paraId="2B77592B" w14:textId="75FB75B0" w:rsidR="00CB5DD2" w:rsidRDefault="00CB5DD2" w:rsidP="00CB5DD2">
      <w:pPr>
        <w:spacing w:line="240" w:lineRule="auto"/>
        <w:jc w:val="center"/>
        <w:rPr>
          <w:b/>
          <w:bCs/>
        </w:rPr>
      </w:pPr>
      <w:r w:rsidRPr="1035B107">
        <w:rPr>
          <w:b/>
          <w:bCs/>
        </w:rPr>
        <w:lastRenderedPageBreak/>
        <w:t>MEMORANDUM OF UNDERSTANDING</w:t>
      </w:r>
    </w:p>
    <w:p w14:paraId="1CA4802B" w14:textId="77777777" w:rsidR="00CB5DD2" w:rsidRPr="00587E66" w:rsidRDefault="00CB5DD2" w:rsidP="00CB5DD2">
      <w:pPr>
        <w:spacing w:line="240" w:lineRule="auto"/>
        <w:jc w:val="center"/>
      </w:pPr>
      <w:r w:rsidRPr="00587E66">
        <w:t>B</w:t>
      </w:r>
      <w:r>
        <w:t>ETWEEN</w:t>
      </w:r>
    </w:p>
    <w:p w14:paraId="6DD5B847" w14:textId="55C75C27" w:rsidR="00CB5DD2" w:rsidRPr="00A83229" w:rsidRDefault="00806FC3" w:rsidP="00CB5DD2">
      <w:pPr>
        <w:spacing w:line="240" w:lineRule="auto"/>
        <w:jc w:val="center"/>
        <w:rPr>
          <w:i/>
          <w:iCs/>
        </w:rPr>
      </w:pPr>
      <w:r w:rsidRPr="00A83229">
        <w:rPr>
          <w:i/>
          <w:iCs/>
        </w:rPr>
        <w:t>[</w:t>
      </w:r>
      <w:r w:rsidRPr="0044652C">
        <w:rPr>
          <w:i/>
          <w:iCs/>
          <w:color w:val="BF4E14" w:themeColor="accent2" w:themeShade="BF"/>
        </w:rPr>
        <w:t>National Statistical Office</w:t>
      </w:r>
      <w:r w:rsidR="00A83229" w:rsidRPr="0044652C">
        <w:rPr>
          <w:i/>
          <w:iCs/>
          <w:color w:val="BF4E14" w:themeColor="accent2" w:themeShade="BF"/>
        </w:rPr>
        <w:t xml:space="preserve"> (NSO)</w:t>
      </w:r>
      <w:r w:rsidRPr="00A83229">
        <w:rPr>
          <w:i/>
          <w:iCs/>
        </w:rPr>
        <w:t>]</w:t>
      </w:r>
    </w:p>
    <w:p w14:paraId="3B0B60A6" w14:textId="77777777" w:rsidR="00CB5DD2" w:rsidRDefault="00CB5DD2" w:rsidP="00CB5DD2">
      <w:pPr>
        <w:spacing w:line="240" w:lineRule="auto"/>
        <w:jc w:val="center"/>
      </w:pPr>
      <w:r>
        <w:t>AND</w:t>
      </w:r>
    </w:p>
    <w:p w14:paraId="3E8786AA" w14:textId="64771492" w:rsidR="00CB5DD2" w:rsidRPr="00A83229" w:rsidRDefault="00806FC3" w:rsidP="00CB5DD2">
      <w:pPr>
        <w:spacing w:line="240" w:lineRule="auto"/>
        <w:jc w:val="center"/>
        <w:rPr>
          <w:i/>
          <w:iCs/>
        </w:rPr>
      </w:pPr>
      <w:r w:rsidRPr="00A83229">
        <w:rPr>
          <w:i/>
          <w:iCs/>
        </w:rPr>
        <w:t>[</w:t>
      </w:r>
      <w:r w:rsidRPr="0044652C">
        <w:rPr>
          <w:i/>
          <w:iCs/>
          <w:color w:val="BF4E14" w:themeColor="accent2" w:themeShade="BF"/>
        </w:rPr>
        <w:t>Regulator</w:t>
      </w:r>
      <w:r w:rsidRPr="00A83229">
        <w:rPr>
          <w:i/>
          <w:iCs/>
        </w:rPr>
        <w:t>]</w:t>
      </w:r>
    </w:p>
    <w:p w14:paraId="7045F0BC" w14:textId="77777777" w:rsidR="00CB5DD2" w:rsidRDefault="00CB5DD2" w:rsidP="00CB5DD2">
      <w:pPr>
        <w:spacing w:line="240" w:lineRule="auto"/>
        <w:jc w:val="center"/>
      </w:pPr>
      <w:r>
        <w:t>AND</w:t>
      </w:r>
    </w:p>
    <w:p w14:paraId="4631595A" w14:textId="6682F24E" w:rsidR="00CB5DD2" w:rsidRPr="00A83229" w:rsidRDefault="00A83229" w:rsidP="00CB5DD2">
      <w:pPr>
        <w:spacing w:line="240" w:lineRule="auto"/>
        <w:jc w:val="center"/>
        <w:rPr>
          <w:i/>
          <w:iCs/>
        </w:rPr>
      </w:pPr>
      <w:r w:rsidRPr="00A83229">
        <w:rPr>
          <w:i/>
          <w:iCs/>
        </w:rPr>
        <w:t>[</w:t>
      </w:r>
      <w:r w:rsidRPr="0044652C">
        <w:rPr>
          <w:i/>
          <w:iCs/>
          <w:color w:val="BF4E14" w:themeColor="accent2" w:themeShade="BF"/>
        </w:rPr>
        <w:t>MNO 1</w:t>
      </w:r>
      <w:r w:rsidRPr="00A83229">
        <w:rPr>
          <w:i/>
          <w:iCs/>
        </w:rPr>
        <w:t>]</w:t>
      </w:r>
    </w:p>
    <w:p w14:paraId="530A04F2" w14:textId="2CB97CC1" w:rsidR="00A83229" w:rsidRDefault="00A83229" w:rsidP="00CB5DD2">
      <w:pPr>
        <w:spacing w:line="240" w:lineRule="auto"/>
        <w:jc w:val="center"/>
      </w:pPr>
      <w:r>
        <w:t>AND</w:t>
      </w:r>
    </w:p>
    <w:p w14:paraId="39CB28DD" w14:textId="1C4BFAAA" w:rsidR="00A83229" w:rsidRPr="00A83229" w:rsidRDefault="00A83229" w:rsidP="00CB5DD2">
      <w:pPr>
        <w:spacing w:line="240" w:lineRule="auto"/>
        <w:jc w:val="center"/>
        <w:rPr>
          <w:i/>
          <w:iCs/>
        </w:rPr>
      </w:pPr>
      <w:r w:rsidRPr="00A83229">
        <w:rPr>
          <w:i/>
          <w:iCs/>
        </w:rPr>
        <w:t>[</w:t>
      </w:r>
      <w:r w:rsidRPr="0044652C">
        <w:rPr>
          <w:i/>
          <w:iCs/>
          <w:color w:val="BF4E14" w:themeColor="accent2" w:themeShade="BF"/>
        </w:rPr>
        <w:t>MNO 2</w:t>
      </w:r>
      <w:r w:rsidR="00995801">
        <w:rPr>
          <w:i/>
          <w:iCs/>
          <w:color w:val="BF4E14" w:themeColor="accent2" w:themeShade="BF"/>
        </w:rPr>
        <w:t xml:space="preserve"> (OPTIONAL)</w:t>
      </w:r>
      <w:r w:rsidRPr="00A83229">
        <w:rPr>
          <w:i/>
          <w:iCs/>
        </w:rPr>
        <w:t>]</w:t>
      </w:r>
    </w:p>
    <w:p w14:paraId="0D101370" w14:textId="3F12E3B4" w:rsidR="00A83229" w:rsidRPr="00A83229" w:rsidRDefault="00A83229" w:rsidP="00CB5DD2">
      <w:pPr>
        <w:spacing w:line="240" w:lineRule="auto"/>
        <w:jc w:val="center"/>
        <w:rPr>
          <w:i/>
          <w:iCs/>
        </w:rPr>
      </w:pPr>
      <w:r w:rsidRPr="00A83229">
        <w:rPr>
          <w:i/>
          <w:iCs/>
        </w:rPr>
        <w:t>[…]</w:t>
      </w:r>
    </w:p>
    <w:p w14:paraId="6E3DB1AD" w14:textId="18859660" w:rsidR="00CB5DD2" w:rsidRDefault="00E25A76" w:rsidP="00CB5DD2">
      <w:pPr>
        <w:spacing w:line="240" w:lineRule="auto"/>
        <w:rPr>
          <w:b/>
          <w:bCs/>
        </w:rPr>
      </w:pPr>
      <w:r w:rsidRPr="00A81CB0">
        <w:rPr>
          <w:i/>
          <w:iCs/>
          <w:color w:val="0070C0"/>
          <w:lang w:eastAsia="en-IE"/>
        </w:rPr>
        <w:t>[</w:t>
      </w:r>
      <w:r>
        <w:rPr>
          <w:i/>
          <w:iCs/>
          <w:color w:val="0070C0"/>
          <w:lang w:eastAsia="en-IE"/>
        </w:rPr>
        <w:t>Where relevant and applicable, a data protection authority may be included as a Party to the MoU.</w:t>
      </w:r>
      <w:r w:rsidRPr="00A81CB0">
        <w:rPr>
          <w:i/>
          <w:iCs/>
          <w:color w:val="0070C0"/>
          <w:lang w:eastAsia="en-IE"/>
        </w:rPr>
        <w:t>]</w:t>
      </w:r>
    </w:p>
    <w:p w14:paraId="4FD62DD6" w14:textId="77777777" w:rsidR="00CB5DD2" w:rsidRDefault="00CB5DD2" w:rsidP="00CB5DD2">
      <w:pPr>
        <w:spacing w:line="240" w:lineRule="auto"/>
      </w:pPr>
      <w:r w:rsidRPr="00587E66">
        <w:rPr>
          <w:b/>
          <w:bCs/>
        </w:rPr>
        <w:t>This agreement is made on the [</w:t>
      </w:r>
      <w:r w:rsidRPr="00587E66">
        <w:rPr>
          <w:b/>
          <w:bCs/>
          <w:i/>
          <w:iCs/>
        </w:rPr>
        <w:t>insert date</w:t>
      </w:r>
      <w:r w:rsidRPr="00587E66">
        <w:rPr>
          <w:b/>
          <w:bCs/>
        </w:rPr>
        <w:t>] between</w:t>
      </w:r>
      <w:r>
        <w:t>:</w:t>
      </w:r>
    </w:p>
    <w:p w14:paraId="66A94B79" w14:textId="48AE33DD" w:rsidR="00CB5DD2" w:rsidRDefault="00CB5DD2" w:rsidP="00CB5DD2">
      <w:pPr>
        <w:pStyle w:val="ListParagraph"/>
        <w:numPr>
          <w:ilvl w:val="0"/>
          <w:numId w:val="8"/>
        </w:numPr>
        <w:spacing w:line="240" w:lineRule="auto"/>
      </w:pPr>
      <w:r>
        <w:t>[</w:t>
      </w:r>
      <w:r w:rsidRPr="0044652C">
        <w:rPr>
          <w:i/>
          <w:iCs/>
          <w:color w:val="BF4E14" w:themeColor="accent2" w:themeShade="BF"/>
        </w:rPr>
        <w:t xml:space="preserve">Name of </w:t>
      </w:r>
      <w:r w:rsidR="00A83229" w:rsidRPr="0044652C">
        <w:rPr>
          <w:i/>
          <w:iCs/>
          <w:color w:val="BF4E14" w:themeColor="accent2" w:themeShade="BF"/>
        </w:rPr>
        <w:t>NSO</w:t>
      </w:r>
      <w:r w:rsidRPr="0044652C">
        <w:rPr>
          <w:i/>
          <w:iCs/>
          <w:color w:val="BF4E14" w:themeColor="accent2" w:themeShade="BF"/>
        </w:rPr>
        <w:t xml:space="preserve"> representative</w:t>
      </w:r>
      <w:r>
        <w:t>]: [</w:t>
      </w:r>
      <w:r w:rsidRPr="0044652C">
        <w:rPr>
          <w:i/>
          <w:iCs/>
          <w:color w:val="BF4E14" w:themeColor="accent2" w:themeShade="BF"/>
        </w:rPr>
        <w:t>details on representative</w:t>
      </w:r>
      <w:r>
        <w:t xml:space="preserve">], in this case acting for and on behalf of the </w:t>
      </w:r>
      <w:r w:rsidR="00A83229">
        <w:t>[</w:t>
      </w:r>
      <w:r w:rsidR="00A83229" w:rsidRPr="0044652C">
        <w:rPr>
          <w:i/>
          <w:iCs/>
          <w:color w:val="BF4E14" w:themeColor="accent2" w:themeShade="BF"/>
        </w:rPr>
        <w:t>National Statistical Office</w:t>
      </w:r>
      <w:r w:rsidR="00A83229">
        <w:t>]</w:t>
      </w:r>
    </w:p>
    <w:p w14:paraId="07C14DE8" w14:textId="2D70EA01" w:rsidR="00CB5DD2" w:rsidRDefault="00CB5DD2" w:rsidP="00CB5DD2">
      <w:pPr>
        <w:pStyle w:val="ListParagraph"/>
        <w:numPr>
          <w:ilvl w:val="0"/>
          <w:numId w:val="8"/>
        </w:numPr>
        <w:spacing w:line="240" w:lineRule="auto"/>
      </w:pPr>
      <w:r>
        <w:t>[</w:t>
      </w:r>
      <w:r w:rsidRPr="0044652C">
        <w:rPr>
          <w:i/>
          <w:iCs/>
          <w:color w:val="BF4E14" w:themeColor="accent2" w:themeShade="BF"/>
        </w:rPr>
        <w:t xml:space="preserve">Name of </w:t>
      </w:r>
      <w:r w:rsidR="00A83229" w:rsidRPr="0044652C">
        <w:rPr>
          <w:i/>
          <w:iCs/>
          <w:color w:val="BF4E14" w:themeColor="accent2" w:themeShade="BF"/>
        </w:rPr>
        <w:t>Regulator</w:t>
      </w:r>
      <w:r w:rsidRPr="0044652C">
        <w:rPr>
          <w:i/>
          <w:iCs/>
          <w:color w:val="BF4E14" w:themeColor="accent2" w:themeShade="BF"/>
        </w:rPr>
        <w:t xml:space="preserve"> representative</w:t>
      </w:r>
      <w:r>
        <w:t>]: [</w:t>
      </w:r>
      <w:r w:rsidRPr="0044652C">
        <w:rPr>
          <w:i/>
          <w:iCs/>
          <w:color w:val="BF4E14" w:themeColor="accent2" w:themeShade="BF"/>
        </w:rPr>
        <w:t>details on representative</w:t>
      </w:r>
      <w:r>
        <w:t xml:space="preserve">], in this case acting for and on behalf of the </w:t>
      </w:r>
      <w:r w:rsidR="00A83229">
        <w:t>[</w:t>
      </w:r>
      <w:r w:rsidR="00A83229" w:rsidRPr="0044652C">
        <w:rPr>
          <w:i/>
          <w:iCs/>
          <w:color w:val="BF4E14" w:themeColor="accent2" w:themeShade="BF"/>
        </w:rPr>
        <w:t>Regulator</w:t>
      </w:r>
      <w:r w:rsidR="00A83229">
        <w:t>]</w:t>
      </w:r>
    </w:p>
    <w:p w14:paraId="1DD674CE" w14:textId="0DBFA4AC" w:rsidR="00CB5DD2" w:rsidRDefault="00CB5DD2" w:rsidP="00CB5DD2">
      <w:pPr>
        <w:pStyle w:val="ListParagraph"/>
        <w:numPr>
          <w:ilvl w:val="0"/>
          <w:numId w:val="8"/>
        </w:numPr>
        <w:spacing w:line="240" w:lineRule="auto"/>
      </w:pPr>
      <w:r>
        <w:t>[</w:t>
      </w:r>
      <w:r w:rsidRPr="0044652C">
        <w:rPr>
          <w:i/>
          <w:iCs/>
          <w:color w:val="BF4E14" w:themeColor="accent2" w:themeShade="BF"/>
        </w:rPr>
        <w:t xml:space="preserve">Name of </w:t>
      </w:r>
      <w:r w:rsidR="0044652C" w:rsidRPr="0044652C">
        <w:rPr>
          <w:i/>
          <w:iCs/>
          <w:color w:val="BF4E14" w:themeColor="accent2" w:themeShade="BF"/>
        </w:rPr>
        <w:t>MNO 1</w:t>
      </w:r>
      <w:r w:rsidRPr="0044652C">
        <w:rPr>
          <w:i/>
          <w:iCs/>
          <w:color w:val="BF4E14" w:themeColor="accent2" w:themeShade="BF"/>
        </w:rPr>
        <w:t xml:space="preserve"> representative</w:t>
      </w:r>
      <w:r>
        <w:t>]: [</w:t>
      </w:r>
      <w:r w:rsidRPr="0044652C">
        <w:rPr>
          <w:i/>
          <w:iCs/>
          <w:color w:val="BF4E14" w:themeColor="accent2" w:themeShade="BF"/>
        </w:rPr>
        <w:t>details on representative</w:t>
      </w:r>
      <w:r>
        <w:t xml:space="preserve">], in this case acting for and on behalf of </w:t>
      </w:r>
      <w:r w:rsidR="00A83229">
        <w:t>[</w:t>
      </w:r>
      <w:r w:rsidR="00A83229" w:rsidRPr="0044652C">
        <w:rPr>
          <w:i/>
          <w:iCs/>
          <w:color w:val="BF4E14" w:themeColor="accent2" w:themeShade="BF"/>
        </w:rPr>
        <w:t>MNO 1</w:t>
      </w:r>
      <w:r w:rsidR="00A83229">
        <w:t>]</w:t>
      </w:r>
    </w:p>
    <w:p w14:paraId="474BCD2A" w14:textId="77777777" w:rsidR="00CB5DD2" w:rsidRDefault="00CB5DD2" w:rsidP="00CB5DD2">
      <w:pPr>
        <w:pStyle w:val="ListParagraph"/>
        <w:numPr>
          <w:ilvl w:val="0"/>
          <w:numId w:val="8"/>
        </w:numPr>
        <w:spacing w:line="240" w:lineRule="auto"/>
      </w:pPr>
      <w:r>
        <w:t>…</w:t>
      </w:r>
    </w:p>
    <w:p w14:paraId="420AA54A" w14:textId="77777777" w:rsidR="00CB5DD2" w:rsidRDefault="00CB5DD2" w:rsidP="00CB5DD2">
      <w:pPr>
        <w:spacing w:line="240" w:lineRule="auto"/>
      </w:pPr>
      <w:r>
        <w:t>Together “</w:t>
      </w:r>
      <w:r w:rsidRPr="00587E66">
        <w:rPr>
          <w:b/>
          <w:bCs/>
        </w:rPr>
        <w:t>The Parties</w:t>
      </w:r>
      <w:r>
        <w:t>” and individually the “</w:t>
      </w:r>
      <w:r w:rsidRPr="00587E66">
        <w:rPr>
          <w:b/>
          <w:bCs/>
        </w:rPr>
        <w:t>Party</w:t>
      </w:r>
      <w:r>
        <w:t>”.</w:t>
      </w:r>
    </w:p>
    <w:p w14:paraId="2D73EA57" w14:textId="77777777" w:rsidR="00CB5DD2" w:rsidRPr="00587E66" w:rsidRDefault="00CB5DD2" w:rsidP="00CB5DD2">
      <w:pPr>
        <w:spacing w:line="240" w:lineRule="auto"/>
        <w:rPr>
          <w:b/>
          <w:bCs/>
        </w:rPr>
      </w:pPr>
      <w:r w:rsidRPr="00587E66">
        <w:rPr>
          <w:b/>
          <w:bCs/>
        </w:rPr>
        <w:t>WHEREAS</w:t>
      </w:r>
    </w:p>
    <w:p w14:paraId="52F1D901" w14:textId="4942E606" w:rsidR="00CB5DD2" w:rsidRDefault="00A83229" w:rsidP="00CB5DD2">
      <w:pPr>
        <w:pStyle w:val="ListParagraph"/>
        <w:numPr>
          <w:ilvl w:val="0"/>
          <w:numId w:val="9"/>
        </w:numPr>
        <w:spacing w:line="240" w:lineRule="auto"/>
      </w:pPr>
      <w:r>
        <w:t>[</w:t>
      </w:r>
      <w:r w:rsidRPr="0044652C">
        <w:rPr>
          <w:i/>
          <w:iCs/>
          <w:color w:val="BF4E14" w:themeColor="accent2" w:themeShade="BF"/>
        </w:rPr>
        <w:t>NSO</w:t>
      </w:r>
      <w:r>
        <w:t>]</w:t>
      </w:r>
      <w:r w:rsidR="00CB5DD2">
        <w:t xml:space="preserve"> is [</w:t>
      </w:r>
      <w:r w:rsidR="00CB5DD2" w:rsidRPr="0044652C">
        <w:rPr>
          <w:i/>
          <w:iCs/>
          <w:color w:val="BF4E14" w:themeColor="accent2" w:themeShade="BF"/>
        </w:rPr>
        <w:t>describe mandate and relevant legislation</w:t>
      </w:r>
      <w:r w:rsidR="00CB5DD2">
        <w:t>]</w:t>
      </w:r>
    </w:p>
    <w:p w14:paraId="231EED8E" w14:textId="788EF9E2" w:rsidR="00CB5DD2" w:rsidRDefault="00A83229" w:rsidP="00CB5DD2">
      <w:pPr>
        <w:pStyle w:val="ListParagraph"/>
        <w:numPr>
          <w:ilvl w:val="0"/>
          <w:numId w:val="9"/>
        </w:numPr>
        <w:spacing w:line="240" w:lineRule="auto"/>
      </w:pPr>
      <w:r>
        <w:t>[</w:t>
      </w:r>
      <w:r w:rsidRPr="0044652C">
        <w:rPr>
          <w:i/>
          <w:iCs/>
          <w:color w:val="BF4E14" w:themeColor="accent2" w:themeShade="BF"/>
        </w:rPr>
        <w:t>Regulator</w:t>
      </w:r>
      <w:r>
        <w:t>]</w:t>
      </w:r>
      <w:r w:rsidR="00CB5DD2">
        <w:t xml:space="preserve"> is [</w:t>
      </w:r>
      <w:r w:rsidR="00CB5DD2" w:rsidRPr="0044652C">
        <w:rPr>
          <w:i/>
          <w:iCs/>
          <w:color w:val="BF4E14" w:themeColor="accent2" w:themeShade="BF"/>
        </w:rPr>
        <w:t>describe mandate and relevant legislation</w:t>
      </w:r>
      <w:r w:rsidR="00CB5DD2">
        <w:t>]</w:t>
      </w:r>
    </w:p>
    <w:p w14:paraId="748C3387" w14:textId="317D126B" w:rsidR="00CB5DD2" w:rsidRDefault="00A83229" w:rsidP="00CB5DD2">
      <w:pPr>
        <w:pStyle w:val="ListParagraph"/>
        <w:numPr>
          <w:ilvl w:val="0"/>
          <w:numId w:val="9"/>
        </w:numPr>
        <w:spacing w:line="240" w:lineRule="auto"/>
      </w:pPr>
      <w:r>
        <w:t>[</w:t>
      </w:r>
      <w:r w:rsidRPr="0044652C">
        <w:rPr>
          <w:i/>
          <w:iCs/>
          <w:color w:val="BF4E14" w:themeColor="accent2" w:themeShade="BF"/>
        </w:rPr>
        <w:t>MNO 1</w:t>
      </w:r>
      <w:r>
        <w:t xml:space="preserve">] </w:t>
      </w:r>
      <w:r w:rsidR="00CB5DD2">
        <w:t xml:space="preserve">is a telecommunications company based in </w:t>
      </w:r>
      <w:r w:rsidRPr="0044652C">
        <w:rPr>
          <w:color w:val="BF4E14" w:themeColor="accent2" w:themeShade="BF"/>
        </w:rPr>
        <w:t>[</w:t>
      </w:r>
      <w:r w:rsidRPr="0044652C">
        <w:rPr>
          <w:i/>
          <w:iCs/>
          <w:color w:val="BF4E14" w:themeColor="accent2" w:themeShade="BF"/>
        </w:rPr>
        <w:t>Country Name</w:t>
      </w:r>
      <w:r w:rsidRPr="0044652C">
        <w:rPr>
          <w:color w:val="BF4E14" w:themeColor="accent2" w:themeShade="BF"/>
        </w:rPr>
        <w:t>]</w:t>
      </w:r>
      <w:r>
        <w:t xml:space="preserve"> </w:t>
      </w:r>
      <w:r w:rsidR="00CB5DD2">
        <w:t xml:space="preserve">which agrees to provide </w:t>
      </w:r>
      <w:r w:rsidR="001A3794">
        <w:t>Mobile Network Operator data</w:t>
      </w:r>
      <w:r w:rsidR="00CB5DD2">
        <w:t xml:space="preserve"> (henceforth, </w:t>
      </w:r>
      <w:r w:rsidR="001A3794">
        <w:t>MNO data</w:t>
      </w:r>
      <w:r w:rsidR="00CB5DD2">
        <w:t xml:space="preserve">) to </w:t>
      </w:r>
      <w:r w:rsidRPr="0044652C">
        <w:rPr>
          <w:color w:val="BF4E14" w:themeColor="accent2" w:themeShade="BF"/>
        </w:rPr>
        <w:t>[</w:t>
      </w:r>
      <w:r w:rsidR="00EF77AC">
        <w:rPr>
          <w:color w:val="BF4E14" w:themeColor="accent2" w:themeShade="BF"/>
        </w:rPr>
        <w:t xml:space="preserve">NSO or </w:t>
      </w:r>
      <w:r w:rsidRPr="0044652C">
        <w:rPr>
          <w:i/>
          <w:iCs/>
          <w:color w:val="BF4E14" w:themeColor="accent2" w:themeShade="BF"/>
        </w:rPr>
        <w:t>Regulator</w:t>
      </w:r>
      <w:r w:rsidRPr="0044652C">
        <w:rPr>
          <w:color w:val="BF4E14" w:themeColor="accent2" w:themeShade="BF"/>
        </w:rPr>
        <w:t xml:space="preserve">] </w:t>
      </w:r>
      <w:r w:rsidR="00CB5DD2">
        <w:t>in accordance with this Agreement</w:t>
      </w:r>
    </w:p>
    <w:p w14:paraId="41A1C52B" w14:textId="77777777" w:rsidR="00CB5DD2" w:rsidRDefault="00CB5DD2" w:rsidP="00CB5DD2">
      <w:pPr>
        <w:pStyle w:val="ListParagraph"/>
        <w:numPr>
          <w:ilvl w:val="0"/>
          <w:numId w:val="9"/>
        </w:numPr>
        <w:spacing w:line="240" w:lineRule="auto"/>
      </w:pPr>
      <w:r w:rsidRPr="0044652C">
        <w:rPr>
          <w:color w:val="BF4E14" w:themeColor="accent2" w:themeShade="BF"/>
        </w:rPr>
        <w:t>[</w:t>
      </w:r>
      <w:r w:rsidRPr="0044652C">
        <w:rPr>
          <w:i/>
          <w:iCs/>
          <w:color w:val="BF4E14" w:themeColor="accent2" w:themeShade="BF"/>
        </w:rPr>
        <w:t>other MNOs</w:t>
      </w:r>
      <w:r w:rsidRPr="0044652C">
        <w:rPr>
          <w:color w:val="BF4E14" w:themeColor="accent2" w:themeShade="BF"/>
        </w:rPr>
        <w:t>]</w:t>
      </w:r>
    </w:p>
    <w:p w14:paraId="7615D7A9" w14:textId="674900F0" w:rsidR="00CB5DD2" w:rsidRPr="00587E66" w:rsidRDefault="00CB5DD2" w:rsidP="00CB5DD2">
      <w:pPr>
        <w:pStyle w:val="ListParagraph"/>
        <w:numPr>
          <w:ilvl w:val="0"/>
          <w:numId w:val="9"/>
        </w:numPr>
        <w:spacing w:line="240" w:lineRule="auto"/>
        <w:rPr>
          <w:b/>
          <w:bCs/>
        </w:rPr>
      </w:pPr>
      <w:r w:rsidRPr="0094333F">
        <w:t xml:space="preserve">The Parties have agreed to collaborate in developing a sustainable data pipeline that integrates </w:t>
      </w:r>
      <w:r w:rsidR="001A3794">
        <w:t>MNO data</w:t>
      </w:r>
      <w:r w:rsidRPr="0094333F">
        <w:t xml:space="preserve"> into the national statistical system, supporting public policy to promote inclusive development in </w:t>
      </w:r>
      <w:r w:rsidR="00A83229" w:rsidRPr="0044652C">
        <w:rPr>
          <w:color w:val="BF4E14" w:themeColor="accent2" w:themeShade="BF"/>
        </w:rPr>
        <w:t>[</w:t>
      </w:r>
      <w:r w:rsidR="00A83229" w:rsidRPr="0044652C">
        <w:rPr>
          <w:i/>
          <w:iCs/>
          <w:color w:val="BF4E14" w:themeColor="accent2" w:themeShade="BF"/>
        </w:rPr>
        <w:t>Country Name</w:t>
      </w:r>
      <w:r w:rsidR="00A83229" w:rsidRPr="0044652C">
        <w:rPr>
          <w:color w:val="BF4E14" w:themeColor="accent2" w:themeShade="BF"/>
        </w:rPr>
        <w:t>]</w:t>
      </w:r>
      <w:r w:rsidRPr="0094333F">
        <w:t>.</w:t>
      </w:r>
      <w:r>
        <w:t xml:space="preserve"> (The “</w:t>
      </w:r>
      <w:r w:rsidRPr="00587E66">
        <w:rPr>
          <w:b/>
          <w:bCs/>
        </w:rPr>
        <w:t>Project</w:t>
      </w:r>
      <w:r>
        <w:t>”)</w:t>
      </w:r>
    </w:p>
    <w:p w14:paraId="3EFF74D1" w14:textId="77777777" w:rsidR="00CB5DD2" w:rsidRPr="00587E66" w:rsidRDefault="00CB5DD2" w:rsidP="00CB5DD2">
      <w:pPr>
        <w:pStyle w:val="ListParagraph"/>
        <w:numPr>
          <w:ilvl w:val="0"/>
          <w:numId w:val="9"/>
        </w:numPr>
        <w:spacing w:line="240" w:lineRule="auto"/>
        <w:rPr>
          <w:b/>
          <w:bCs/>
        </w:rPr>
      </w:pPr>
      <w:r>
        <w:t>This Agreement sets out the terms and conditions under which The Parties have agreed to collaborate.</w:t>
      </w:r>
    </w:p>
    <w:p w14:paraId="69314AAB" w14:textId="77777777" w:rsidR="00CB5DD2" w:rsidRPr="00587E66" w:rsidRDefault="00CB5DD2" w:rsidP="00CB5DD2">
      <w:pPr>
        <w:spacing w:line="240" w:lineRule="auto"/>
        <w:rPr>
          <w:b/>
          <w:bCs/>
        </w:rPr>
      </w:pPr>
      <w:r w:rsidRPr="00587E66">
        <w:rPr>
          <w:b/>
          <w:bCs/>
        </w:rPr>
        <w:t>NOW THEREFORE The Parties hereto agree as follows:</w:t>
      </w:r>
    </w:p>
    <w:p w14:paraId="230A6CAC" w14:textId="77777777" w:rsidR="00CB5DD2" w:rsidRDefault="00CB5DD2" w:rsidP="00A83229">
      <w:pPr>
        <w:pStyle w:val="Heading1"/>
      </w:pPr>
      <w:r w:rsidRPr="00A83229">
        <w:lastRenderedPageBreak/>
        <w:t>Objectives</w:t>
      </w:r>
    </w:p>
    <w:p w14:paraId="7FF93733" w14:textId="77777777" w:rsidR="00FD42A5" w:rsidRPr="00FD42A5" w:rsidRDefault="0044652C" w:rsidP="00017148">
      <w:pPr>
        <w:pStyle w:val="Heading2"/>
      </w:pPr>
      <w:bookmarkStart w:id="2" w:name="_Ref197095334"/>
      <w:r w:rsidRPr="0044652C">
        <w:rPr>
          <w:color w:val="BF4E14" w:themeColor="accent2" w:themeShade="BF"/>
        </w:rPr>
        <w:t>[</w:t>
      </w:r>
      <w:r w:rsidRPr="0044652C">
        <w:rPr>
          <w:i/>
          <w:iCs/>
          <w:color w:val="BF4E14" w:themeColor="accent2" w:themeShade="BF"/>
        </w:rPr>
        <w:t>General objective of the initiative underlying the MoU</w:t>
      </w:r>
      <w:r w:rsidRPr="0044652C">
        <w:rPr>
          <w:color w:val="BF4E14" w:themeColor="accent2" w:themeShade="BF"/>
        </w:rPr>
        <w:t>]</w:t>
      </w:r>
      <w:bookmarkEnd w:id="2"/>
      <w:r w:rsidR="00FD42A5">
        <w:rPr>
          <w:color w:val="BF4E14" w:themeColor="accent2" w:themeShade="BF"/>
        </w:rPr>
        <w:t xml:space="preserve"> </w:t>
      </w:r>
    </w:p>
    <w:p w14:paraId="039EE0E8" w14:textId="0682CD2F" w:rsidR="0044652C" w:rsidRPr="00FD42A5" w:rsidRDefault="00FD42A5" w:rsidP="00FD42A5">
      <w:pPr>
        <w:pStyle w:val="Heading2"/>
        <w:numPr>
          <w:ilvl w:val="0"/>
          <w:numId w:val="0"/>
        </w:numPr>
        <w:ind w:left="576"/>
      </w:pPr>
      <w:r w:rsidRPr="00FB4D24">
        <w:rPr>
          <w:i/>
          <w:iCs/>
          <w:color w:val="3A7C22" w:themeColor="accent6" w:themeShade="BF"/>
          <w:u w:val="single"/>
        </w:rPr>
        <w:t>Example</w:t>
      </w:r>
      <w:r w:rsidRPr="00FB4D24">
        <w:rPr>
          <w:i/>
          <w:iCs/>
          <w:color w:val="3A7C22" w:themeColor="accent6" w:themeShade="BF"/>
        </w:rPr>
        <w:t>:</w:t>
      </w:r>
      <w:r>
        <w:rPr>
          <w:i/>
          <w:iCs/>
          <w:color w:val="3A7C22" w:themeColor="accent6" w:themeShade="BF"/>
        </w:rPr>
        <w:t xml:space="preserve"> </w:t>
      </w:r>
      <w:r w:rsidRPr="00FB4D24">
        <w:rPr>
          <w:i/>
          <w:iCs/>
          <w:color w:val="3A7C22" w:themeColor="accent6" w:themeShade="BF"/>
        </w:rPr>
        <w:t xml:space="preserve">The Project aims to improve the timely production of relevant statistics and indicators derived from </w:t>
      </w:r>
      <w:r>
        <w:rPr>
          <w:i/>
          <w:iCs/>
          <w:color w:val="3A7C22" w:themeColor="accent6" w:themeShade="BF"/>
        </w:rPr>
        <w:t>MNO data</w:t>
      </w:r>
      <w:r w:rsidRPr="00FB4D24">
        <w:rPr>
          <w:i/>
          <w:iCs/>
          <w:color w:val="3A7C22" w:themeColor="accent6" w:themeShade="BF"/>
        </w:rPr>
        <w:t xml:space="preserve"> and integrate them into the national statistical system. These statistics and indicators will be developed to support public policy decision-making with enhanced information on socio-economic indicators, migration, tourism and other key areas of national development.</w:t>
      </w:r>
    </w:p>
    <w:p w14:paraId="498E856F" w14:textId="6E486A3C" w:rsidR="002D5113" w:rsidRDefault="002D5113" w:rsidP="00CB5DD2">
      <w:pPr>
        <w:pStyle w:val="Heading1"/>
        <w:rPr>
          <w:lang w:val="en-IE"/>
        </w:rPr>
      </w:pPr>
      <w:bookmarkStart w:id="3" w:name="_Ref197081094"/>
      <w:r>
        <w:rPr>
          <w:lang w:val="en-IE"/>
        </w:rPr>
        <w:t>Definitions</w:t>
      </w:r>
      <w:bookmarkEnd w:id="3"/>
    </w:p>
    <w:p w14:paraId="54DBFFC9" w14:textId="4760EBD4" w:rsidR="002D5113" w:rsidRDefault="002D75E7" w:rsidP="00FD42A5">
      <w:pPr>
        <w:pStyle w:val="Heading2"/>
        <w:rPr>
          <w:lang w:val="en-IE"/>
        </w:rPr>
      </w:pPr>
      <w:r w:rsidRPr="001A3794">
        <w:rPr>
          <w:b/>
          <w:bCs/>
          <w:lang w:val="en-IE"/>
        </w:rPr>
        <w:t>MNO data</w:t>
      </w:r>
      <w:r>
        <w:rPr>
          <w:lang w:val="en-IE"/>
        </w:rPr>
        <w:t xml:space="preserve">: </w:t>
      </w:r>
      <w:r w:rsidR="008C5A62">
        <w:rPr>
          <w:lang w:val="en-IE"/>
        </w:rPr>
        <w:t>Mobile Network Operator data refers to data generated through the operation of mobile communication services and collected by MNOs. This includes</w:t>
      </w:r>
      <w:r w:rsidR="000E7716">
        <w:rPr>
          <w:lang w:val="en-IE"/>
        </w:rPr>
        <w:t xml:space="preserve"> event data such as</w:t>
      </w:r>
      <w:r w:rsidR="008C5A62">
        <w:rPr>
          <w:lang w:val="en-IE"/>
        </w:rPr>
        <w:t xml:space="preserve"> Call Detail Records (CDR)</w:t>
      </w:r>
      <w:r w:rsidR="000E7716">
        <w:rPr>
          <w:lang w:val="en-IE"/>
        </w:rPr>
        <w:t xml:space="preserve"> and</w:t>
      </w:r>
      <w:r w:rsidR="008C5A62">
        <w:rPr>
          <w:lang w:val="en-IE"/>
        </w:rPr>
        <w:t xml:space="preserve"> signalling data, </w:t>
      </w:r>
      <w:r w:rsidR="000E7716">
        <w:rPr>
          <w:lang w:val="en-IE"/>
        </w:rPr>
        <w:t xml:space="preserve">as well as network data corresponding to physical parameters of </w:t>
      </w:r>
      <w:r w:rsidR="00090E5A">
        <w:rPr>
          <w:lang w:val="en-IE"/>
        </w:rPr>
        <w:t xml:space="preserve">antenna towers, and customer data. </w:t>
      </w:r>
    </w:p>
    <w:p w14:paraId="148BEEB7" w14:textId="512303CD" w:rsidR="002D75E7" w:rsidRDefault="002D75E7" w:rsidP="00FD42A5">
      <w:pPr>
        <w:pStyle w:val="Heading2"/>
        <w:rPr>
          <w:lang w:val="en-IE"/>
        </w:rPr>
      </w:pPr>
      <w:r w:rsidRPr="001A3794">
        <w:rPr>
          <w:b/>
          <w:bCs/>
          <w:lang w:val="en-IE"/>
        </w:rPr>
        <w:t>Tier I “nano” data</w:t>
      </w:r>
      <w:r w:rsidR="00090E5A">
        <w:rPr>
          <w:lang w:val="en-IE"/>
        </w:rPr>
        <w:t>: Tier I nano data refers to raw, event-level mobile network data (CDR or signalling data) that include, at a minimum: (i) an identifier for the device and/or SIM card associated with the network event, (ii) a timestamp indicating when the event occurred, and (iii) an identifier for the antenna that routed the event.</w:t>
      </w:r>
    </w:p>
    <w:p w14:paraId="18C34374" w14:textId="439762AE" w:rsidR="002D75E7" w:rsidRDefault="002D75E7" w:rsidP="00FD42A5">
      <w:pPr>
        <w:pStyle w:val="Heading2"/>
        <w:rPr>
          <w:lang w:val="en-IE"/>
        </w:rPr>
      </w:pPr>
      <w:r w:rsidRPr="001A3794">
        <w:rPr>
          <w:b/>
          <w:bCs/>
          <w:lang w:val="en-IE"/>
        </w:rPr>
        <w:t>Tier I “micro” data</w:t>
      </w:r>
      <w:r w:rsidR="001A3794">
        <w:rPr>
          <w:lang w:val="en-IE"/>
        </w:rPr>
        <w:t>: Tier I micro data correspond to a summary measure of Tier I nano data at the device-level (or SIM-level) within a specified time period, e.g. the number of calls received by each device on a given 24h period.</w:t>
      </w:r>
    </w:p>
    <w:p w14:paraId="7FC7375A" w14:textId="300968DF" w:rsidR="002D75E7" w:rsidRPr="001A3794" w:rsidRDefault="002D75E7" w:rsidP="00FD42A5">
      <w:pPr>
        <w:pStyle w:val="Heading2"/>
        <w:rPr>
          <w:lang w:val="en-IE"/>
        </w:rPr>
      </w:pPr>
      <w:r w:rsidRPr="001A3794">
        <w:rPr>
          <w:b/>
          <w:bCs/>
          <w:lang w:val="en-IE"/>
        </w:rPr>
        <w:t>Tier II data</w:t>
      </w:r>
      <w:r w:rsidR="001A3794" w:rsidRPr="001A3794">
        <w:rPr>
          <w:lang w:val="en-IE"/>
        </w:rPr>
        <w:t>: Tier II data</w:t>
      </w:r>
      <w:r w:rsidR="001A3794">
        <w:rPr>
          <w:lang w:val="en-IE"/>
        </w:rPr>
        <w:t xml:space="preserve"> are spatially aggregated summary measures for specified time periods from a single MNO</w:t>
      </w:r>
      <w:r w:rsidR="004D226B">
        <w:rPr>
          <w:lang w:val="en-IE"/>
        </w:rPr>
        <w:t>, so that they do not contain any Personally Identifiable Information (PII).</w:t>
      </w:r>
    </w:p>
    <w:p w14:paraId="4A129757" w14:textId="77777777" w:rsidR="000272B7" w:rsidRDefault="002D75E7" w:rsidP="00FD42A5">
      <w:pPr>
        <w:pStyle w:val="Heading2"/>
        <w:rPr>
          <w:lang w:val="en-IE"/>
        </w:rPr>
      </w:pPr>
      <w:r w:rsidRPr="001A3794">
        <w:rPr>
          <w:b/>
          <w:bCs/>
          <w:lang w:val="en-IE"/>
        </w:rPr>
        <w:t>Tier III data</w:t>
      </w:r>
      <w:r w:rsidR="001A3794" w:rsidRPr="001A3794">
        <w:rPr>
          <w:lang w:val="en-IE"/>
        </w:rPr>
        <w:t>: Tier III data</w:t>
      </w:r>
      <w:r w:rsidR="001A3794">
        <w:rPr>
          <w:lang w:val="en-IE"/>
        </w:rPr>
        <w:t xml:space="preserve"> coincide with statistics on a well-defined target population, usually derived from the combination of Tier II data from a single or multiple MNOs and non-MNO data.</w:t>
      </w:r>
    </w:p>
    <w:p w14:paraId="6CEEB72C" w14:textId="25FEE707" w:rsidR="002D75E7" w:rsidRPr="001A3794" w:rsidRDefault="000272B7" w:rsidP="00FD42A5">
      <w:pPr>
        <w:pStyle w:val="Heading2"/>
        <w:rPr>
          <w:lang w:val="en-IE"/>
        </w:rPr>
      </w:pPr>
      <w:r>
        <w:rPr>
          <w:b/>
          <w:bCs/>
          <w:lang w:val="en-IE"/>
        </w:rPr>
        <w:t>Indicator</w:t>
      </w:r>
      <w:r w:rsidRPr="000272B7">
        <w:rPr>
          <w:lang w:val="en-IE"/>
        </w:rPr>
        <w:t>:</w:t>
      </w:r>
      <w:r>
        <w:rPr>
          <w:lang w:val="en-IE"/>
        </w:rPr>
        <w:t xml:space="preserve"> an indicator is any summary measure derived from Tier I nano data, i.e. a Tier I micro, Tier II or Tier III summary measure.</w:t>
      </w:r>
    </w:p>
    <w:p w14:paraId="78BB9CA3" w14:textId="65AD6F2A" w:rsidR="00CB5DD2" w:rsidRPr="00587E66" w:rsidRDefault="00CB5DD2" w:rsidP="00CB5DD2">
      <w:pPr>
        <w:pStyle w:val="Heading1"/>
        <w:rPr>
          <w:lang w:val="en-IE"/>
        </w:rPr>
      </w:pPr>
      <w:r>
        <w:t xml:space="preserve">Scope of </w:t>
      </w:r>
      <w:r w:rsidR="002D5113">
        <w:t>collaboration</w:t>
      </w:r>
    </w:p>
    <w:p w14:paraId="5075149F" w14:textId="1E45DE59" w:rsidR="00CB5DD2" w:rsidRDefault="00CB5DD2" w:rsidP="00CB5DD2">
      <w:pPr>
        <w:pStyle w:val="Heading2"/>
      </w:pPr>
      <w:r>
        <w:t xml:space="preserve">This Memorandum of Understanding (MoU) establishes a formal </w:t>
      </w:r>
      <w:r w:rsidR="0044652C">
        <w:t>collaboration</w:t>
      </w:r>
      <w:r>
        <w:t xml:space="preserve"> between</w:t>
      </w:r>
      <w:r w:rsidR="0044652C">
        <w:t xml:space="preserve"> </w:t>
      </w:r>
      <w:r w:rsidR="0044652C" w:rsidRPr="00017148">
        <w:rPr>
          <w:color w:val="BF4E14" w:themeColor="accent2" w:themeShade="BF"/>
        </w:rPr>
        <w:t>[</w:t>
      </w:r>
      <w:r w:rsidR="0044652C" w:rsidRPr="00017148">
        <w:rPr>
          <w:i/>
          <w:iCs/>
          <w:color w:val="BF4E14" w:themeColor="accent2" w:themeShade="BF"/>
        </w:rPr>
        <w:t>NSO</w:t>
      </w:r>
      <w:r w:rsidR="0044652C" w:rsidRPr="00017148">
        <w:rPr>
          <w:color w:val="BF4E14" w:themeColor="accent2" w:themeShade="BF"/>
        </w:rPr>
        <w:t>]</w:t>
      </w:r>
      <w:r>
        <w:t xml:space="preserve">, </w:t>
      </w:r>
      <w:r w:rsidR="0044652C" w:rsidRPr="00017148">
        <w:rPr>
          <w:color w:val="BF4E14" w:themeColor="accent2" w:themeShade="BF"/>
        </w:rPr>
        <w:t>[</w:t>
      </w:r>
      <w:r w:rsidR="0044652C" w:rsidRPr="00017148">
        <w:rPr>
          <w:i/>
          <w:iCs/>
          <w:color w:val="BF4E14" w:themeColor="accent2" w:themeShade="BF"/>
        </w:rPr>
        <w:t>Regulator</w:t>
      </w:r>
      <w:r w:rsidR="0044652C" w:rsidRPr="00017148">
        <w:rPr>
          <w:color w:val="BF4E14" w:themeColor="accent2" w:themeShade="BF"/>
        </w:rPr>
        <w:t>]</w:t>
      </w:r>
      <w:r w:rsidR="0044652C">
        <w:t xml:space="preserve"> </w:t>
      </w:r>
      <w:r>
        <w:t xml:space="preserve">and </w:t>
      </w:r>
      <w:r w:rsidR="00017148" w:rsidRPr="00E80114">
        <w:rPr>
          <w:i/>
          <w:iCs/>
          <w:color w:val="BF4E14" w:themeColor="accent2" w:themeShade="BF"/>
        </w:rPr>
        <w:t>[MNO 1 or MNOs]</w:t>
      </w:r>
      <w:r w:rsidR="00017148" w:rsidRPr="00017148">
        <w:rPr>
          <w:color w:val="BF4E14" w:themeColor="accent2" w:themeShade="BF"/>
        </w:rPr>
        <w:t xml:space="preserve"> </w:t>
      </w:r>
      <w:r>
        <w:t xml:space="preserve">for the integration of </w:t>
      </w:r>
      <w:r w:rsidR="001A3794">
        <w:t>MNO data</w:t>
      </w:r>
      <w:r>
        <w:t xml:space="preserve"> into</w:t>
      </w:r>
      <w:r w:rsidR="0044652C">
        <w:t xml:space="preserve"> </w:t>
      </w:r>
      <w:r w:rsidR="0044652C" w:rsidRPr="00FB4D24">
        <w:rPr>
          <w:i/>
          <w:iCs/>
          <w:color w:val="BF4E14" w:themeColor="accent2" w:themeShade="BF"/>
        </w:rPr>
        <w:t>[Country Name]</w:t>
      </w:r>
      <w:r w:rsidR="0044652C">
        <w:t>’</w:t>
      </w:r>
      <w:r>
        <w:t>s national statistical system, consistent with objectives outlined in</w:t>
      </w:r>
      <w:r w:rsidR="00017148">
        <w:t xml:space="preserve"> </w:t>
      </w:r>
      <w:r w:rsidR="00017148" w:rsidRPr="00017148">
        <w:rPr>
          <w:color w:val="BF4E14" w:themeColor="accent2" w:themeShade="BF"/>
        </w:rPr>
        <w:t>[</w:t>
      </w:r>
      <w:r w:rsidR="00017148" w:rsidRPr="00E80114">
        <w:rPr>
          <w:i/>
          <w:iCs/>
          <w:color w:val="BF4E14" w:themeColor="accent2" w:themeShade="BF"/>
        </w:rPr>
        <w:t>latest National Strategy for the Development of Statistics document in the country</w:t>
      </w:r>
      <w:r w:rsidR="00017148" w:rsidRPr="00017148">
        <w:rPr>
          <w:color w:val="BF4E14" w:themeColor="accent2" w:themeShade="BF"/>
        </w:rPr>
        <w:t>]</w:t>
      </w:r>
      <w:r>
        <w:t xml:space="preserve">. </w:t>
      </w:r>
    </w:p>
    <w:p w14:paraId="36A4F7E5" w14:textId="77777777" w:rsidR="00CB5DD2" w:rsidRDefault="00CB5DD2" w:rsidP="00CB5DD2">
      <w:pPr>
        <w:pStyle w:val="Heading2"/>
      </w:pPr>
      <w:r>
        <w:t>The scope of the MoU includes:</w:t>
      </w:r>
    </w:p>
    <w:p w14:paraId="71C6E7C0" w14:textId="2CB29A9B" w:rsidR="00CB5DD2" w:rsidRPr="00587E66" w:rsidRDefault="00CB5DD2" w:rsidP="00FD42A5">
      <w:pPr>
        <w:pStyle w:val="Heading3"/>
      </w:pPr>
      <w:r>
        <w:t xml:space="preserve">Developing a sustainable data pipeline to facilitate the sharing and processing of </w:t>
      </w:r>
      <w:r w:rsidR="001A3794">
        <w:t>MNO data</w:t>
      </w:r>
      <w:r>
        <w:t xml:space="preserve"> collected by MNOs, transforming it into valuable information for public decision-making.</w:t>
      </w:r>
    </w:p>
    <w:p w14:paraId="76B5AF9A" w14:textId="77777777" w:rsidR="00CB5DD2" w:rsidRPr="00587E66" w:rsidRDefault="00CB5DD2" w:rsidP="00FD42A5">
      <w:pPr>
        <w:pStyle w:val="Heading3"/>
      </w:pPr>
      <w:r w:rsidRPr="00805C0F">
        <w:rPr>
          <w:lang w:val="en-IE"/>
        </w:rPr>
        <w:lastRenderedPageBreak/>
        <w:t>Establishing a governance framework to facilitate the development of the data pipeline and ensure its long-term sustainability.</w:t>
      </w:r>
    </w:p>
    <w:p w14:paraId="331E94B7" w14:textId="77EDE884" w:rsidR="00CB5DD2" w:rsidRDefault="00CB5DD2" w:rsidP="00FD42A5">
      <w:pPr>
        <w:pStyle w:val="Heading3"/>
      </w:pPr>
      <w:r w:rsidRPr="00805C0F">
        <w:t>Implementing</w:t>
      </w:r>
      <w:r w:rsidR="00017148">
        <w:t xml:space="preserve"> data</w:t>
      </w:r>
      <w:r w:rsidRPr="00805C0F">
        <w:t xml:space="preserve"> safeguards to uphold data security and privacy</w:t>
      </w:r>
      <w:r w:rsidR="00EF77AC">
        <w:t xml:space="preserve"> throughout all phases of the data workflow, including during the transfer and processing of </w:t>
      </w:r>
      <w:r w:rsidR="001A3794">
        <w:t>MNO data</w:t>
      </w:r>
      <w:r w:rsidR="00EF77AC">
        <w:t xml:space="preserve"> at any level of granularity</w:t>
      </w:r>
      <w:r w:rsidRPr="00805C0F">
        <w:t>.</w:t>
      </w:r>
    </w:p>
    <w:p w14:paraId="373C0E5E" w14:textId="6E0928BB" w:rsidR="00CB5DD2" w:rsidRDefault="00CB5DD2" w:rsidP="00FD42A5">
      <w:pPr>
        <w:pStyle w:val="Heading3"/>
      </w:pPr>
      <w:r>
        <w:t>Defining transparent procedures and mechanisms that regulate</w:t>
      </w:r>
      <w:r w:rsidR="00EF77AC">
        <w:t xml:space="preserve"> the</w:t>
      </w:r>
      <w:r>
        <w:t xml:space="preserve"> transfer of, access to and processing of </w:t>
      </w:r>
      <w:r w:rsidR="001A3794">
        <w:t>MNO data</w:t>
      </w:r>
      <w:r>
        <w:t xml:space="preserve"> within the established data pipeline, as well as the dissemination of aggregated indicators derived from such data.</w:t>
      </w:r>
    </w:p>
    <w:p w14:paraId="5382CB89" w14:textId="7984F7F9" w:rsidR="00FC66B9" w:rsidRDefault="00FC66B9" w:rsidP="00FD42A5">
      <w:pPr>
        <w:pStyle w:val="Heading3"/>
      </w:pPr>
      <w:r>
        <w:t xml:space="preserve">Laying the groundwork for a collaborative arrangement between </w:t>
      </w:r>
      <w:r w:rsidRPr="00E80114">
        <w:rPr>
          <w:i/>
          <w:iCs/>
          <w:color w:val="BF4E14" w:themeColor="accent2" w:themeShade="BF"/>
        </w:rPr>
        <w:t>[MNO 1 or MNOs]</w:t>
      </w:r>
      <w:r>
        <w:t xml:space="preserve">, </w:t>
      </w:r>
      <w:r w:rsidRPr="00017148">
        <w:rPr>
          <w:color w:val="BF4E14" w:themeColor="accent2" w:themeShade="BF"/>
        </w:rPr>
        <w:t>[</w:t>
      </w:r>
      <w:r w:rsidRPr="00017148">
        <w:rPr>
          <w:i/>
          <w:iCs/>
          <w:color w:val="BF4E14" w:themeColor="accent2" w:themeShade="BF"/>
        </w:rPr>
        <w:t>NSO</w:t>
      </w:r>
      <w:r w:rsidRPr="00017148">
        <w:rPr>
          <w:color w:val="BF4E14" w:themeColor="accent2" w:themeShade="BF"/>
        </w:rPr>
        <w:t>]</w:t>
      </w:r>
      <w:r>
        <w:t>, and potential external technical partners, focused</w:t>
      </w:r>
      <w:r w:rsidRPr="00FC66B9">
        <w:t xml:space="preserve"> </w:t>
      </w:r>
      <w:r>
        <w:t xml:space="preserve">on research and knowledge exchange related to MNO data. This collaboration shall be further formalized through a separate, dedicated agreement. </w:t>
      </w:r>
      <w:r w:rsidRPr="00FC66B9">
        <w:rPr>
          <w:i/>
          <w:iCs/>
          <w:color w:val="0070C0"/>
        </w:rPr>
        <w:t xml:space="preserve">[This is optional but strongly </w:t>
      </w:r>
      <w:r>
        <w:rPr>
          <w:i/>
          <w:iCs/>
          <w:color w:val="0070C0"/>
        </w:rPr>
        <w:t>encouraged to support</w:t>
      </w:r>
      <w:r w:rsidRPr="00FC66B9">
        <w:rPr>
          <w:i/>
          <w:iCs/>
          <w:color w:val="0070C0"/>
        </w:rPr>
        <w:t xml:space="preserve"> capacity</w:t>
      </w:r>
      <w:r>
        <w:rPr>
          <w:i/>
          <w:iCs/>
          <w:color w:val="0070C0"/>
        </w:rPr>
        <w:t xml:space="preserve"> building</w:t>
      </w:r>
      <w:r w:rsidRPr="00FC66B9">
        <w:rPr>
          <w:i/>
          <w:iCs/>
          <w:color w:val="0070C0"/>
        </w:rPr>
        <w:t xml:space="preserve"> </w:t>
      </w:r>
      <w:r>
        <w:rPr>
          <w:i/>
          <w:iCs/>
          <w:color w:val="0070C0"/>
        </w:rPr>
        <w:t>for</w:t>
      </w:r>
      <w:r w:rsidRPr="00FC66B9">
        <w:rPr>
          <w:i/>
          <w:iCs/>
          <w:color w:val="0070C0"/>
        </w:rPr>
        <w:t xml:space="preserve"> both government </w:t>
      </w:r>
      <w:r w:rsidR="00976C1A">
        <w:rPr>
          <w:i/>
          <w:iCs/>
          <w:color w:val="0070C0"/>
        </w:rPr>
        <w:t xml:space="preserve">entities </w:t>
      </w:r>
      <w:r w:rsidRPr="00FC66B9">
        <w:rPr>
          <w:i/>
          <w:iCs/>
          <w:color w:val="0070C0"/>
        </w:rPr>
        <w:t>and MNOs.]</w:t>
      </w:r>
    </w:p>
    <w:bookmarkEnd w:id="0"/>
    <w:p w14:paraId="15FFF67B" w14:textId="77777777" w:rsidR="00CB5DD2" w:rsidRDefault="00CB5DD2" w:rsidP="00CB5DD2">
      <w:pPr>
        <w:pStyle w:val="Heading1"/>
      </w:pPr>
      <w:r>
        <w:t>Term and Commencement</w:t>
      </w:r>
    </w:p>
    <w:p w14:paraId="179F875B" w14:textId="352631E9" w:rsidR="00CB5DD2" w:rsidRDefault="00CB5DD2" w:rsidP="00CB5DD2">
      <w:pPr>
        <w:pStyle w:val="Heading2"/>
      </w:pPr>
      <w:bookmarkStart w:id="4" w:name="_Ref189153344"/>
      <w:r>
        <w:t xml:space="preserve">This MoU shall remain in effect for a period of </w:t>
      </w:r>
      <w:r w:rsidR="00017148" w:rsidRPr="00017148">
        <w:rPr>
          <w:color w:val="BF4E14" w:themeColor="accent2" w:themeShade="BF"/>
        </w:rPr>
        <w:t>[</w:t>
      </w:r>
      <w:r w:rsidR="00017148" w:rsidRPr="00E80114">
        <w:rPr>
          <w:i/>
          <w:iCs/>
          <w:color w:val="BF4E14" w:themeColor="accent2" w:themeShade="BF"/>
        </w:rPr>
        <w:t>number of years</w:t>
      </w:r>
      <w:r w:rsidR="00017148" w:rsidRPr="00017148">
        <w:rPr>
          <w:color w:val="BF4E14" w:themeColor="accent2" w:themeShade="BF"/>
        </w:rPr>
        <w:t>]</w:t>
      </w:r>
      <w:r w:rsidRPr="00017148">
        <w:rPr>
          <w:color w:val="BF4E14" w:themeColor="accent2" w:themeShade="BF"/>
        </w:rPr>
        <w:t xml:space="preserve"> </w:t>
      </w:r>
      <w:r>
        <w:t xml:space="preserve">years from the date of signature by The Parties, unless earlier terminated in accordance with the provisions of clause </w:t>
      </w:r>
      <w:r w:rsidR="00624EB6">
        <w:fldChar w:fldCharType="begin"/>
      </w:r>
      <w:r w:rsidR="00624EB6">
        <w:instrText xml:space="preserve"> REF _Ref189153780 \r \h </w:instrText>
      </w:r>
      <w:r w:rsidR="00624EB6">
        <w:fldChar w:fldCharType="separate"/>
      </w:r>
      <w:r w:rsidR="00FB7BE7">
        <w:t>5</w:t>
      </w:r>
      <w:r w:rsidR="00624EB6">
        <w:fldChar w:fldCharType="end"/>
      </w:r>
      <w:r>
        <w:t>.</w:t>
      </w:r>
      <w:bookmarkEnd w:id="4"/>
    </w:p>
    <w:p w14:paraId="5E186A26" w14:textId="77777777" w:rsidR="00CB5DD2" w:rsidRDefault="00CB5DD2" w:rsidP="00CB5DD2">
      <w:pPr>
        <w:pStyle w:val="Heading2"/>
      </w:pPr>
      <w:r>
        <w:t>If any Party wishes to extend or renew this Agreement, it shall give written notice of its intention to other Parties.</w:t>
      </w:r>
    </w:p>
    <w:p w14:paraId="69AD2791" w14:textId="77777777" w:rsidR="00CB5DD2" w:rsidRDefault="00CB5DD2" w:rsidP="00CB5DD2">
      <w:pPr>
        <w:pStyle w:val="Heading1"/>
      </w:pPr>
      <w:bookmarkStart w:id="5" w:name="_Ref189153780"/>
      <w:r>
        <w:t>Termination</w:t>
      </w:r>
      <w:bookmarkEnd w:id="5"/>
    </w:p>
    <w:p w14:paraId="32D3D7DE" w14:textId="77777777" w:rsidR="00CB5DD2" w:rsidRDefault="00CB5DD2" w:rsidP="00CB5DD2">
      <w:pPr>
        <w:pStyle w:val="Heading2"/>
      </w:pPr>
      <w:r>
        <w:t>Any Party may terminate this Agreement immediately if:</w:t>
      </w:r>
    </w:p>
    <w:p w14:paraId="040D3299" w14:textId="1FB5E64A" w:rsidR="00CB5DD2" w:rsidRDefault="00CB5DD2" w:rsidP="00CB5DD2">
      <w:pPr>
        <w:pStyle w:val="Heading3"/>
      </w:pPr>
      <w:r w:rsidRPr="00017148">
        <w:rPr>
          <w:color w:val="BF4E14" w:themeColor="accent2" w:themeShade="BF"/>
        </w:rPr>
        <w:t>[</w:t>
      </w:r>
      <w:r w:rsidR="00017148" w:rsidRPr="00E80114">
        <w:rPr>
          <w:i/>
          <w:iCs/>
          <w:color w:val="BF4E14" w:themeColor="accent2" w:themeShade="BF"/>
        </w:rPr>
        <w:t>motive for termination</w:t>
      </w:r>
      <w:r w:rsidRPr="00017148">
        <w:rPr>
          <w:color w:val="BF4E14" w:themeColor="accent2" w:themeShade="BF"/>
        </w:rPr>
        <w:t>]</w:t>
      </w:r>
    </w:p>
    <w:p w14:paraId="095ACDFC" w14:textId="055746E0" w:rsidR="00CB5DD2" w:rsidRPr="00F567FC" w:rsidRDefault="00CB5DD2" w:rsidP="00CB5DD2">
      <w:pPr>
        <w:pStyle w:val="Heading3"/>
      </w:pPr>
      <w:r w:rsidRPr="00017148">
        <w:rPr>
          <w:color w:val="BF4E14" w:themeColor="accent2" w:themeShade="BF"/>
        </w:rPr>
        <w:t>[</w:t>
      </w:r>
      <w:r w:rsidR="00017148" w:rsidRPr="00E80114">
        <w:rPr>
          <w:i/>
          <w:iCs/>
          <w:color w:val="BF4E14" w:themeColor="accent2" w:themeShade="BF"/>
        </w:rPr>
        <w:t>motive for termination</w:t>
      </w:r>
      <w:r w:rsidRPr="00017148">
        <w:rPr>
          <w:color w:val="BF4E14" w:themeColor="accent2" w:themeShade="BF"/>
        </w:rPr>
        <w:t>]</w:t>
      </w:r>
    </w:p>
    <w:p w14:paraId="7B9CEB13" w14:textId="7A4963FB" w:rsidR="00CB5DD2" w:rsidRPr="00F567FC" w:rsidRDefault="00CB5DD2" w:rsidP="00CB5DD2">
      <w:pPr>
        <w:pStyle w:val="Heading2"/>
      </w:pPr>
      <w:r>
        <w:t xml:space="preserve">Any Party may terminate this Agreement upon giving the other Parties </w:t>
      </w:r>
      <w:r w:rsidR="00017148" w:rsidRPr="00017148">
        <w:rPr>
          <w:color w:val="BF4E14" w:themeColor="accent2" w:themeShade="BF"/>
        </w:rPr>
        <w:t>[</w:t>
      </w:r>
      <w:r w:rsidR="00017148" w:rsidRPr="00E80114">
        <w:rPr>
          <w:i/>
          <w:iCs/>
          <w:color w:val="BF4E14" w:themeColor="accent2" w:themeShade="BF"/>
        </w:rPr>
        <w:t>number of days</w:t>
      </w:r>
      <w:r w:rsidR="00017148" w:rsidRPr="00017148">
        <w:rPr>
          <w:color w:val="BF4E14" w:themeColor="accent2" w:themeShade="BF"/>
        </w:rPr>
        <w:t>]</w:t>
      </w:r>
      <w:r w:rsidR="00017148">
        <w:t xml:space="preserve"> </w:t>
      </w:r>
      <w:r>
        <w:t>days prior written notice.</w:t>
      </w:r>
    </w:p>
    <w:p w14:paraId="4DF33063" w14:textId="77777777" w:rsidR="00CB5DD2" w:rsidRPr="00587E66" w:rsidRDefault="00CB5DD2" w:rsidP="00CB5DD2">
      <w:pPr>
        <w:pStyle w:val="Heading1"/>
        <w:rPr>
          <w:lang w:val="en-IE"/>
        </w:rPr>
      </w:pPr>
      <w:r w:rsidRPr="69DC1012">
        <w:rPr>
          <w:lang w:val="en-IE"/>
        </w:rPr>
        <w:t>Roles and obligations of the Parties</w:t>
      </w:r>
    </w:p>
    <w:p w14:paraId="059422CE" w14:textId="6F530A71" w:rsidR="00CB5DD2" w:rsidRPr="0005654F" w:rsidRDefault="00017148" w:rsidP="00CB5DD2">
      <w:pPr>
        <w:pStyle w:val="Heading2"/>
      </w:pP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p>
    <w:p w14:paraId="1F07EE56" w14:textId="23E45790" w:rsidR="00CB5DD2" w:rsidRDefault="00017148" w:rsidP="00E80114">
      <w:pPr>
        <w:pStyle w:val="Heading3"/>
      </w:pP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rsidR="00CB5DD2" w:rsidRPr="0005654F">
        <w:t>shall lead the analysis</w:t>
      </w:r>
      <w:r w:rsidR="00CB5DD2" w:rsidRPr="005B4F0F">
        <w:t xml:space="preserve"> </w:t>
      </w:r>
      <w:r w:rsidR="00CB5DD2" w:rsidRPr="0005654F">
        <w:t xml:space="preserve">of </w:t>
      </w:r>
      <w:r w:rsidR="001A3794">
        <w:t>MNO data</w:t>
      </w:r>
      <w:r w:rsidR="00CB5DD2" w:rsidRPr="0005654F">
        <w:t xml:space="preserve"> and</w:t>
      </w:r>
      <w:r w:rsidR="00CB5DD2">
        <w:t xml:space="preserve"> the</w:t>
      </w:r>
      <w:r w:rsidR="00CB5DD2" w:rsidRPr="0005654F">
        <w:t xml:space="preserve"> integration</w:t>
      </w:r>
      <w:r w:rsidR="00CB5DD2">
        <w:t xml:space="preserve"> of the resulting outputs</w:t>
      </w:r>
      <w:r w:rsidR="00CB5DD2" w:rsidRPr="0005654F">
        <w:t xml:space="preserve"> into </w:t>
      </w:r>
      <w:r w:rsidR="00CB5DD2">
        <w:t xml:space="preserve">the national statistical system via </w:t>
      </w:r>
      <w:r w:rsidR="00CB5DD2" w:rsidRPr="0005654F">
        <w:t>its statistical reports</w:t>
      </w:r>
      <w:r w:rsidR="00CB5DD2">
        <w:t xml:space="preserve"> and products</w:t>
      </w:r>
      <w:r w:rsidR="00CB5DD2" w:rsidRPr="0005654F">
        <w:t xml:space="preserve">. </w:t>
      </w: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rsidR="00CB5DD2" w:rsidRPr="0005654F">
        <w:t xml:space="preserve">will ensure that </w:t>
      </w:r>
      <w:r w:rsidR="001A3794">
        <w:t>MNO data</w:t>
      </w:r>
      <w:r w:rsidR="00CB5DD2" w:rsidRPr="0005654F">
        <w:t xml:space="preserve"> </w:t>
      </w:r>
      <w:r w:rsidR="001A3794">
        <w:t xml:space="preserve">are </w:t>
      </w:r>
      <w:r w:rsidR="00CB5DD2" w:rsidRPr="0005654F">
        <w:t>used to produce relevant data for national policy and decision-making.</w:t>
      </w:r>
    </w:p>
    <w:p w14:paraId="38E6E59D" w14:textId="507A33EF" w:rsidR="00017148" w:rsidRDefault="00017148" w:rsidP="00017148">
      <w:pPr>
        <w:pStyle w:val="Heading3"/>
      </w:pPr>
      <w:r w:rsidRPr="00017148">
        <w:rPr>
          <w:color w:val="BF4E14" w:themeColor="accent2" w:themeShade="BF"/>
        </w:rPr>
        <w:lastRenderedPageBreak/>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t xml:space="preserve">will ensure the quality and reliability of outputs derived from </w:t>
      </w:r>
      <w:r w:rsidR="001A3794">
        <w:t>MNO data</w:t>
      </w:r>
      <w:r w:rsidR="00EB018D">
        <w:t xml:space="preserve"> through the establishment of an adequate quality assurance framework and the adoption of relevant standards throughout the data processing workflow. </w:t>
      </w:r>
      <w:r w:rsidR="00624EB6">
        <w:t>In this respect</w:t>
      </w:r>
      <w:r w:rsidR="00EB018D">
        <w:t xml:space="preserve">, </w:t>
      </w:r>
      <w:r w:rsidR="00EB018D" w:rsidRPr="00017148">
        <w:rPr>
          <w:color w:val="BF4E14" w:themeColor="accent2" w:themeShade="BF"/>
        </w:rPr>
        <w:t>[</w:t>
      </w:r>
      <w:r w:rsidR="00EB018D" w:rsidRPr="00E80114">
        <w:rPr>
          <w:i/>
          <w:iCs/>
          <w:color w:val="BF4E14" w:themeColor="accent2" w:themeShade="BF"/>
        </w:rPr>
        <w:t>NSO</w:t>
      </w:r>
      <w:r w:rsidR="00EB018D" w:rsidRPr="00017148">
        <w:rPr>
          <w:color w:val="BF4E14" w:themeColor="accent2" w:themeShade="BF"/>
        </w:rPr>
        <w:t>]</w:t>
      </w:r>
      <w:r w:rsidR="00EB018D">
        <w:rPr>
          <w:color w:val="BF4E14" w:themeColor="accent2" w:themeShade="BF"/>
        </w:rPr>
        <w:t xml:space="preserve"> </w:t>
      </w:r>
      <w:r w:rsidR="00EB018D">
        <w:t>may</w:t>
      </w:r>
      <w:r>
        <w:t xml:space="preserve"> request analytical support from technical partners of their choice when necessary. Technical partners may access </w:t>
      </w:r>
      <w:r w:rsidR="00EB018D">
        <w:t>MNO data</w:t>
      </w:r>
      <w:r>
        <w:t xml:space="preserve"> for processing and analysis under a </w:t>
      </w:r>
      <w:r w:rsidR="00C51A56">
        <w:t xml:space="preserve">Partner </w:t>
      </w:r>
      <w:r w:rsidR="00FB7BE7">
        <w:t>D</w:t>
      </w:r>
      <w:r>
        <w:t>ata</w:t>
      </w:r>
      <w:r w:rsidR="00145337">
        <w:t xml:space="preserve"> </w:t>
      </w:r>
      <w:r w:rsidR="00FB7BE7">
        <w:t>S</w:t>
      </w:r>
      <w:r>
        <w:t xml:space="preserve">haring </w:t>
      </w:r>
      <w:r w:rsidR="00FB7BE7">
        <w:t>A</w:t>
      </w:r>
      <w:r>
        <w:t>greement</w:t>
      </w:r>
      <w:r w:rsidR="00C51A56">
        <w:t xml:space="preserve"> (PDSA)</w:t>
      </w:r>
      <w:r>
        <w:t>, following the procedure established in clause</w:t>
      </w:r>
      <w:r w:rsidR="00FB7BE7">
        <w:t xml:space="preserve"> </w:t>
      </w:r>
      <w:r w:rsidR="00FB7BE7">
        <w:fldChar w:fldCharType="begin"/>
      </w:r>
      <w:r w:rsidR="00FB7BE7">
        <w:instrText xml:space="preserve"> REF _Ref200113855 \r \h </w:instrText>
      </w:r>
      <w:r w:rsidR="00FB7BE7">
        <w:fldChar w:fldCharType="separate"/>
      </w:r>
      <w:r w:rsidR="00FB7BE7">
        <w:t>8.2</w:t>
      </w:r>
      <w:r w:rsidR="00FB7BE7">
        <w:fldChar w:fldCharType="end"/>
      </w:r>
      <w:r>
        <w:t xml:space="preserve"> of this Agreement.</w:t>
      </w:r>
    </w:p>
    <w:p w14:paraId="4535C89B" w14:textId="1FE80F46" w:rsidR="00A81CB0" w:rsidRPr="00337B01" w:rsidRDefault="00A81CB0" w:rsidP="00A81CB0">
      <w:pPr>
        <w:pStyle w:val="Heading3"/>
      </w:pPr>
      <w:r w:rsidRPr="00E80114">
        <w:rPr>
          <w:color w:val="BF4E14" w:themeColor="accent2" w:themeShade="BF"/>
        </w:rPr>
        <w:t>[</w:t>
      </w:r>
      <w:r>
        <w:rPr>
          <w:i/>
          <w:iCs/>
          <w:color w:val="BF4E14" w:themeColor="accent2" w:themeShade="BF"/>
        </w:rPr>
        <w:t>NSO</w:t>
      </w:r>
      <w:r w:rsidRPr="00E80114">
        <w:rPr>
          <w:color w:val="BF4E14" w:themeColor="accent2" w:themeShade="BF"/>
        </w:rPr>
        <w:t>]</w:t>
      </w:r>
      <w:r>
        <w:t xml:space="preserve"> shall set up and ensure maintenance of an adequate file transfer protocol enabling the secure transfer of </w:t>
      </w:r>
      <w:r w:rsidR="00FA0BAA">
        <w:t>indicators</w:t>
      </w:r>
      <w:r>
        <w:t xml:space="preserve"> from </w:t>
      </w:r>
      <w:r w:rsidR="00FB7BE7" w:rsidRPr="00E80114">
        <w:rPr>
          <w:i/>
          <w:iCs/>
          <w:color w:val="BF4E14" w:themeColor="accent2" w:themeShade="BF"/>
        </w:rPr>
        <w:t>[MNO 1 or MNOs]</w:t>
      </w:r>
      <w:r w:rsidR="00FB7BE7" w:rsidRPr="00FB7BE7">
        <w:t>‘s</w:t>
      </w:r>
      <w:r w:rsidR="00FB7BE7">
        <w:rPr>
          <w:color w:val="BF4E14" w:themeColor="accent2" w:themeShade="BF"/>
        </w:rPr>
        <w:t xml:space="preserve"> </w:t>
      </w:r>
      <w:r w:rsidR="00FB7BE7">
        <w:t>server</w:t>
      </w:r>
      <w:r>
        <w:t xml:space="preserve"> to </w:t>
      </w:r>
      <w:r w:rsidRPr="00E80114">
        <w:rPr>
          <w:color w:val="BF4E14" w:themeColor="accent2" w:themeShade="BF"/>
        </w:rPr>
        <w:t>[</w:t>
      </w:r>
      <w:r>
        <w:rPr>
          <w:i/>
          <w:iCs/>
          <w:color w:val="BF4E14" w:themeColor="accent2" w:themeShade="BF"/>
        </w:rPr>
        <w:t>NSO</w:t>
      </w:r>
      <w:r w:rsidRPr="00E80114">
        <w:rPr>
          <w:color w:val="BF4E14" w:themeColor="accent2" w:themeShade="BF"/>
        </w:rPr>
        <w:t>]</w:t>
      </w:r>
      <w:r>
        <w:t>’s server.</w:t>
      </w:r>
      <w:r w:rsidR="004605F2" w:rsidRPr="004605F2">
        <w:rPr>
          <w:i/>
          <w:iCs/>
          <w:color w:val="0070C0"/>
        </w:rPr>
        <w:t xml:space="preserve"> [This responsibility may be delegated to the </w:t>
      </w:r>
      <w:r w:rsidR="00CB22D0" w:rsidRPr="004605F2">
        <w:rPr>
          <w:i/>
          <w:iCs/>
          <w:color w:val="0070C0"/>
        </w:rPr>
        <w:t>Regulator</w:t>
      </w:r>
      <w:r w:rsidR="00CB22D0">
        <w:rPr>
          <w:i/>
          <w:iCs/>
          <w:color w:val="0070C0"/>
        </w:rPr>
        <w:t xml:space="preserve"> (or other relevant government agency)</w:t>
      </w:r>
      <w:r w:rsidR="00CB22D0" w:rsidRPr="004605F2">
        <w:rPr>
          <w:i/>
          <w:iCs/>
          <w:color w:val="0070C0"/>
        </w:rPr>
        <w:t xml:space="preserve"> </w:t>
      </w:r>
      <w:r w:rsidR="004605F2" w:rsidRPr="004605F2">
        <w:rPr>
          <w:i/>
          <w:iCs/>
          <w:color w:val="0070C0"/>
        </w:rPr>
        <w:t>depending on the capacity and mandate of the respective government entities.]</w:t>
      </w:r>
    </w:p>
    <w:p w14:paraId="3BBAB462" w14:textId="11CCDB33" w:rsidR="00017148" w:rsidRPr="005E3E3B" w:rsidRDefault="00017148" w:rsidP="00017148">
      <w:pPr>
        <w:pStyle w:val="Heading3"/>
      </w:pP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t xml:space="preserve">will serve as the official representative of </w:t>
      </w:r>
      <w:r w:rsidRPr="00017148">
        <w:rPr>
          <w:color w:val="BF4E14" w:themeColor="accent2" w:themeShade="BF"/>
        </w:rPr>
        <w:t>[</w:t>
      </w:r>
      <w:r w:rsidRPr="00E80114">
        <w:rPr>
          <w:i/>
          <w:iCs/>
          <w:color w:val="BF4E14" w:themeColor="accent2" w:themeShade="BF"/>
        </w:rPr>
        <w:t>Country Name</w:t>
      </w:r>
      <w:r w:rsidRPr="00017148">
        <w:rPr>
          <w:color w:val="BF4E14" w:themeColor="accent2" w:themeShade="BF"/>
        </w:rPr>
        <w:t>]</w:t>
      </w:r>
      <w:r>
        <w:t xml:space="preserve"> in international events, discussions, and collaborations related to </w:t>
      </w:r>
      <w:r w:rsidR="00EB018D">
        <w:t>MNO data</w:t>
      </w:r>
      <w:r>
        <w:t xml:space="preserve"> for statistical purposes, ensuring alignment with national interests and promoting the country's initiatives in this domain.</w:t>
      </w:r>
    </w:p>
    <w:p w14:paraId="4AE2936B" w14:textId="77777777" w:rsidR="0001622B" w:rsidRPr="00C51A56" w:rsidRDefault="00E80114" w:rsidP="0001622B">
      <w:pPr>
        <w:pStyle w:val="Heading3"/>
        <w:rPr>
          <w:i/>
          <w:iCs/>
          <w:color w:val="0070C0"/>
        </w:rPr>
      </w:pPr>
      <w:r w:rsidRPr="00C51A56">
        <w:rPr>
          <w:i/>
          <w:iCs/>
          <w:color w:val="0070C0"/>
        </w:rPr>
        <w:t xml:space="preserve">[Clause formally establishing a unit within NSO dedicated to integrating </w:t>
      </w:r>
      <w:r w:rsidR="00EB018D" w:rsidRPr="00C51A56">
        <w:rPr>
          <w:i/>
          <w:iCs/>
          <w:color w:val="0070C0"/>
        </w:rPr>
        <w:t>MNO data</w:t>
      </w:r>
      <w:r w:rsidRPr="00C51A56">
        <w:rPr>
          <w:i/>
          <w:iCs/>
          <w:color w:val="0070C0"/>
        </w:rPr>
        <w:t xml:space="preserve"> into the national statistical system. (OPTIONAL)]</w:t>
      </w:r>
    </w:p>
    <w:p w14:paraId="0E4F273F" w14:textId="713E47AF" w:rsidR="00CB5DD2" w:rsidRPr="00FB4D24" w:rsidRDefault="00E80114" w:rsidP="0001622B">
      <w:pPr>
        <w:pStyle w:val="Heading3"/>
        <w:numPr>
          <w:ilvl w:val="0"/>
          <w:numId w:val="0"/>
        </w:numPr>
        <w:ind w:left="720"/>
        <w:rPr>
          <w:i/>
          <w:iCs/>
          <w:color w:val="3A7C22" w:themeColor="accent6" w:themeShade="BF"/>
        </w:rPr>
      </w:pPr>
      <w:r w:rsidRPr="0001622B">
        <w:rPr>
          <w:i/>
          <w:iCs/>
          <w:color w:val="3A7C22" w:themeColor="accent6" w:themeShade="BF"/>
          <w:u w:val="single"/>
        </w:rPr>
        <w:t>Example</w:t>
      </w:r>
      <w:r w:rsidRPr="0001622B">
        <w:rPr>
          <w:i/>
          <w:iCs/>
          <w:color w:val="3A7C22" w:themeColor="accent6" w:themeShade="BF"/>
        </w:rPr>
        <w:t>:</w:t>
      </w:r>
      <w:r w:rsidRPr="00FB4D24">
        <w:rPr>
          <w:i/>
          <w:iCs/>
          <w:color w:val="3A7C22" w:themeColor="accent6" w:themeShade="BF"/>
        </w:rPr>
        <w:t>[NSO]</w:t>
      </w:r>
      <w:r w:rsidR="00CB5DD2" w:rsidRPr="00FB4D24">
        <w:rPr>
          <w:i/>
          <w:iCs/>
          <w:color w:val="3A7C22" w:themeColor="accent6" w:themeShade="BF"/>
        </w:rPr>
        <w:t xml:space="preserve"> will establish a Mobile Data Integration Unit (MDIU) within </w:t>
      </w:r>
      <w:r w:rsidRPr="00FB4D24">
        <w:rPr>
          <w:i/>
          <w:iCs/>
          <w:color w:val="3A7C22" w:themeColor="accent6" w:themeShade="BF"/>
        </w:rPr>
        <w:t xml:space="preserve">[NSO] </w:t>
      </w:r>
      <w:r w:rsidR="00CB5DD2" w:rsidRPr="00FB4D24">
        <w:rPr>
          <w:i/>
          <w:iCs/>
          <w:color w:val="3A7C22" w:themeColor="accent6" w:themeShade="BF"/>
        </w:rPr>
        <w:t xml:space="preserve">and nominate a coordinator for Big Data within </w:t>
      </w:r>
      <w:r w:rsidRPr="00FB4D24">
        <w:rPr>
          <w:i/>
          <w:iCs/>
          <w:color w:val="3A7C22" w:themeColor="accent6" w:themeShade="BF"/>
        </w:rPr>
        <w:t xml:space="preserve">[NSO] </w:t>
      </w:r>
      <w:r w:rsidR="00CB5DD2" w:rsidRPr="00FB4D24">
        <w:rPr>
          <w:i/>
          <w:iCs/>
          <w:color w:val="3A7C22" w:themeColor="accent6" w:themeShade="BF"/>
        </w:rPr>
        <w:t>to coordinate activities and oversee Big Data operations.</w:t>
      </w:r>
    </w:p>
    <w:p w14:paraId="7A65898A" w14:textId="7A664322" w:rsidR="00CB5DD2" w:rsidRPr="0005654F" w:rsidRDefault="00E80114" w:rsidP="00CB5DD2">
      <w:pPr>
        <w:pStyle w:val="Heading2"/>
        <w:spacing w:before="240"/>
        <w:ind w:left="578" w:hanging="578"/>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p>
    <w:p w14:paraId="245A6BBB" w14:textId="21A84430" w:rsidR="00CB5DD2" w:rsidRPr="003F0991" w:rsidRDefault="00E80114" w:rsidP="00CB5DD2">
      <w:pPr>
        <w:pStyle w:val="Heading3"/>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Pr>
          <w:color w:val="BF4E14" w:themeColor="accent2" w:themeShade="BF"/>
        </w:rPr>
        <w:t xml:space="preserve"> </w:t>
      </w:r>
      <w:r w:rsidR="00CB5DD2">
        <w:t xml:space="preserve">shall serve as the regulatory intermediary facilitating collaboration between </w:t>
      </w:r>
      <w:r w:rsidRPr="00E80114">
        <w:rPr>
          <w:i/>
          <w:iCs/>
          <w:color w:val="BF4E14" w:themeColor="accent2" w:themeShade="BF"/>
        </w:rPr>
        <w:t>[MNO 1 or MNOs]</w:t>
      </w:r>
      <w:r w:rsidRPr="00017148">
        <w:rPr>
          <w:color w:val="BF4E14" w:themeColor="accent2" w:themeShade="BF"/>
        </w:rPr>
        <w:t xml:space="preserve"> </w:t>
      </w:r>
      <w:r w:rsidR="00CB5DD2">
        <w:t>and</w:t>
      </w:r>
      <w:r>
        <w:t xml:space="preserve"> </w:t>
      </w:r>
      <w:r w:rsidRPr="00E80114">
        <w:rPr>
          <w:i/>
          <w:iCs/>
          <w:color w:val="BF4E14" w:themeColor="accent2" w:themeShade="BF"/>
        </w:rPr>
        <w:t>[NSO]</w:t>
      </w:r>
      <w:r w:rsidR="00CB5DD2">
        <w:t>.</w:t>
      </w:r>
    </w:p>
    <w:p w14:paraId="3BE3B914" w14:textId="5EE3CEF7" w:rsidR="00CB5DD2" w:rsidRDefault="00E80114" w:rsidP="00145337">
      <w:pPr>
        <w:pStyle w:val="Heading3"/>
      </w:pPr>
      <w:r w:rsidRPr="00C9653E">
        <w:rPr>
          <w:color w:val="BF4E14" w:themeColor="accent2" w:themeShade="BF"/>
        </w:rPr>
        <w:t>[</w:t>
      </w:r>
      <w:r w:rsidRPr="00C9653E">
        <w:rPr>
          <w:i/>
          <w:iCs/>
          <w:color w:val="BF4E14" w:themeColor="accent2" w:themeShade="BF"/>
        </w:rPr>
        <w:t>Regulator</w:t>
      </w:r>
      <w:r w:rsidRPr="00C9653E">
        <w:rPr>
          <w:color w:val="BF4E14" w:themeColor="accent2" w:themeShade="BF"/>
        </w:rPr>
        <w:t xml:space="preserve">] </w:t>
      </w:r>
      <w:bookmarkStart w:id="6" w:name="_Hlk197433476"/>
      <w:r w:rsidR="00CB5DD2">
        <w:t xml:space="preserve">shall ensure that </w:t>
      </w:r>
      <w:r w:rsidR="003E76C0">
        <w:t>data transfer and access protocols</w:t>
      </w:r>
      <w:r w:rsidR="007B6978">
        <w:t>, purpose of data use,</w:t>
      </w:r>
      <w:r w:rsidR="003E76C0">
        <w:t xml:space="preserve"> as well as </w:t>
      </w:r>
      <w:r w:rsidR="00C51A56">
        <w:t>d</w:t>
      </w:r>
      <w:r w:rsidR="00CB5DD2">
        <w:t>ata</w:t>
      </w:r>
      <w:r w:rsidR="00C51A56">
        <w:t xml:space="preserve"> </w:t>
      </w:r>
      <w:r w:rsidR="00CB5DD2">
        <w:t xml:space="preserve">sharing agreements </w:t>
      </w:r>
      <w:r w:rsidR="007B6978">
        <w:t>comply with</w:t>
      </w:r>
      <w:r w:rsidR="00CB5DD2">
        <w:t xml:space="preserve"> applicable national</w:t>
      </w:r>
      <w:r w:rsidR="007B6978">
        <w:t>, regional and supranational laws</w:t>
      </w:r>
      <w:r w:rsidR="00CB5DD2">
        <w:t xml:space="preserve"> </w:t>
      </w:r>
      <w:r w:rsidR="003E76C0">
        <w:t xml:space="preserve">and </w:t>
      </w:r>
      <w:r w:rsidR="00CB5DD2">
        <w:t>regulations on data protection and privacy</w:t>
      </w:r>
      <w:bookmarkEnd w:id="6"/>
      <w:r w:rsidR="00CB5DD2">
        <w:t>.</w:t>
      </w:r>
      <w:r w:rsidR="00C9653E">
        <w:t xml:space="preserve"> </w:t>
      </w:r>
      <w:bookmarkStart w:id="7" w:name="_Hlk197433488"/>
      <w:r w:rsidR="004605F2" w:rsidRPr="00C9653E">
        <w:rPr>
          <w:i/>
          <w:iCs/>
          <w:color w:val="0070C0"/>
        </w:rPr>
        <w:t xml:space="preserve">[This responsibility may be assigned to the relevant </w:t>
      </w:r>
      <w:r w:rsidR="00CB22D0" w:rsidRPr="00C9653E">
        <w:rPr>
          <w:i/>
          <w:iCs/>
          <w:color w:val="0070C0"/>
        </w:rPr>
        <w:t>D</w:t>
      </w:r>
      <w:r w:rsidR="004605F2" w:rsidRPr="00C9653E">
        <w:rPr>
          <w:i/>
          <w:iCs/>
          <w:color w:val="0070C0"/>
        </w:rPr>
        <w:t xml:space="preserve">ata </w:t>
      </w:r>
      <w:r w:rsidR="00CB22D0" w:rsidRPr="00C9653E">
        <w:rPr>
          <w:i/>
          <w:iCs/>
          <w:color w:val="0070C0"/>
        </w:rPr>
        <w:t>P</w:t>
      </w:r>
      <w:r w:rsidR="004605F2" w:rsidRPr="00C9653E">
        <w:rPr>
          <w:i/>
          <w:iCs/>
          <w:color w:val="0070C0"/>
        </w:rPr>
        <w:t xml:space="preserve">rotection </w:t>
      </w:r>
      <w:r w:rsidR="00CB22D0" w:rsidRPr="00C9653E">
        <w:rPr>
          <w:i/>
          <w:iCs/>
          <w:color w:val="0070C0"/>
        </w:rPr>
        <w:t>A</w:t>
      </w:r>
      <w:r w:rsidR="004605F2" w:rsidRPr="00C9653E">
        <w:rPr>
          <w:i/>
          <w:iCs/>
          <w:color w:val="0070C0"/>
        </w:rPr>
        <w:t>uthority, provided it has the appropriate mandate and is established in the country.]</w:t>
      </w:r>
      <w:bookmarkEnd w:id="7"/>
    </w:p>
    <w:p w14:paraId="2A400D6F" w14:textId="1D7C3A72" w:rsidR="00CB5DD2" w:rsidRDefault="00A62E99" w:rsidP="00CB5DD2">
      <w:pPr>
        <w:pStyle w:val="Heading3"/>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sidR="00CB5DD2">
        <w:t xml:space="preserve"> shall monitor the ethical use of </w:t>
      </w:r>
      <w:r w:rsidR="00EB018D">
        <w:t>MNO data</w:t>
      </w:r>
      <w:r w:rsidR="00CB5DD2">
        <w:t xml:space="preserve"> to protect citizens' privacy and ensure data is used only for statistical purposes and to support public decision-making.</w:t>
      </w:r>
    </w:p>
    <w:p w14:paraId="7B04C84D" w14:textId="258925C9" w:rsidR="00CB5DD2" w:rsidRPr="0005654F" w:rsidRDefault="003E76C0" w:rsidP="00CB5DD2">
      <w:pPr>
        <w:pStyle w:val="Heading2"/>
        <w:spacing w:before="240"/>
        <w:ind w:left="578" w:hanging="578"/>
      </w:pPr>
      <w:r w:rsidRPr="00E80114">
        <w:rPr>
          <w:i/>
          <w:iCs/>
          <w:color w:val="BF4E14" w:themeColor="accent2" w:themeShade="BF"/>
        </w:rPr>
        <w:t>[MNO 1 or MNOs]</w:t>
      </w:r>
    </w:p>
    <w:p w14:paraId="01851D80" w14:textId="72C9F228" w:rsidR="00CB5DD2" w:rsidRDefault="003E3A13" w:rsidP="00CB5DD2">
      <w:pPr>
        <w:pStyle w:val="Heading3"/>
      </w:pPr>
      <w:r w:rsidRPr="003E3A13">
        <w:t>Following definitions provided in clause</w:t>
      </w:r>
      <w:r>
        <w:t xml:space="preserve"> </w:t>
      </w:r>
      <w:r>
        <w:fldChar w:fldCharType="begin"/>
      </w:r>
      <w:r>
        <w:instrText xml:space="preserve"> REF _Ref197081094 \r \h </w:instrText>
      </w:r>
      <w:r>
        <w:fldChar w:fldCharType="separate"/>
      </w:r>
      <w:r w:rsidR="00C51A56">
        <w:t>2</w:t>
      </w:r>
      <w:r>
        <w:fldChar w:fldCharType="end"/>
      </w:r>
      <w:r>
        <w:t>,</w:t>
      </w:r>
      <w:r w:rsidRPr="003E3A13">
        <w:rPr>
          <w:i/>
          <w:iCs/>
        </w:rPr>
        <w:t xml:space="preserve"> </w:t>
      </w:r>
      <w:r w:rsidR="003E76C0" w:rsidRPr="00E80114">
        <w:rPr>
          <w:i/>
          <w:iCs/>
          <w:color w:val="BF4E14" w:themeColor="accent2" w:themeShade="BF"/>
        </w:rPr>
        <w:t>[MNO 1 or MNOs]</w:t>
      </w:r>
      <w:r w:rsidR="00CB5DD2">
        <w:t xml:space="preserve"> shall</w:t>
      </w:r>
      <w:r>
        <w:t xml:space="preserve"> collect and </w:t>
      </w:r>
      <w:r w:rsidR="00430989">
        <w:t xml:space="preserve">store </w:t>
      </w:r>
      <w:r>
        <w:t>Tier I nano data</w:t>
      </w:r>
      <w:r w:rsidRPr="003E3A13">
        <w:t>,</w:t>
      </w:r>
      <w:r w:rsidR="00430989">
        <w:t xml:space="preserve"> and shall provide access to the corresponding server</w:t>
      </w:r>
      <w:r w:rsidR="00CB5DD2">
        <w:t xml:space="preserve"> </w:t>
      </w:r>
      <w:r w:rsidR="00990463">
        <w:t>in accordance with</w:t>
      </w:r>
      <w:r>
        <w:t xml:space="preserve"> technical</w:t>
      </w:r>
      <w:r w:rsidR="00990463">
        <w:t xml:space="preserve"> </w:t>
      </w:r>
      <w:r w:rsidR="004605F2">
        <w:rPr>
          <w:lang w:val="en-IE"/>
        </w:rPr>
        <w:t>specifications</w:t>
      </w:r>
      <w:r w:rsidR="00990463">
        <w:rPr>
          <w:lang w:val="en-IE"/>
        </w:rPr>
        <w:t xml:space="preserve"> set forth in </w:t>
      </w:r>
      <w:r w:rsidR="004605F2">
        <w:rPr>
          <w:lang w:val="en-IE"/>
        </w:rPr>
        <w:t xml:space="preserve">a dedicated </w:t>
      </w:r>
      <w:r w:rsidR="00C51A56">
        <w:rPr>
          <w:lang w:val="en-IE"/>
        </w:rPr>
        <w:t>d</w:t>
      </w:r>
      <w:r w:rsidR="004605F2">
        <w:rPr>
          <w:lang w:val="en-IE"/>
        </w:rPr>
        <w:t xml:space="preserve">ata </w:t>
      </w:r>
      <w:r w:rsidR="00C51A56">
        <w:rPr>
          <w:lang w:val="en-IE"/>
        </w:rPr>
        <w:t>s</w:t>
      </w:r>
      <w:r w:rsidR="004605F2">
        <w:rPr>
          <w:lang w:val="en-IE"/>
        </w:rPr>
        <w:t xml:space="preserve">haring </w:t>
      </w:r>
      <w:r w:rsidR="00C51A56">
        <w:rPr>
          <w:lang w:val="en-IE"/>
        </w:rPr>
        <w:t>a</w:t>
      </w:r>
      <w:r w:rsidR="004605F2">
        <w:rPr>
          <w:lang w:val="en-IE"/>
        </w:rPr>
        <w:t>greement</w:t>
      </w:r>
      <w:r w:rsidR="000F5615">
        <w:rPr>
          <w:lang w:val="en-IE"/>
        </w:rPr>
        <w:t xml:space="preserve"> </w:t>
      </w:r>
      <w:r w:rsidR="00990463">
        <w:rPr>
          <w:lang w:val="en-IE"/>
        </w:rPr>
        <w:t xml:space="preserve">and </w:t>
      </w:r>
      <w:r w:rsidR="00CB5DD2">
        <w:t xml:space="preserve">under the terms and conditions </w:t>
      </w:r>
      <w:r w:rsidR="00990463">
        <w:t>defined</w:t>
      </w:r>
      <w:r w:rsidR="00CB5DD2">
        <w:t xml:space="preserve"> in this </w:t>
      </w:r>
      <w:r w:rsidR="004605F2">
        <w:t>Agreement</w:t>
      </w:r>
      <w:r w:rsidR="00CB5DD2">
        <w:t>.</w:t>
      </w:r>
    </w:p>
    <w:p w14:paraId="54C23ED0" w14:textId="4D28620F" w:rsidR="007D6FDE" w:rsidRDefault="007D6FDE" w:rsidP="007D6FDE">
      <w:pPr>
        <w:pStyle w:val="Heading3"/>
      </w:pPr>
      <w:r w:rsidRPr="00E80114">
        <w:rPr>
          <w:i/>
          <w:iCs/>
          <w:color w:val="BF4E14" w:themeColor="accent2" w:themeShade="BF"/>
        </w:rPr>
        <w:t>[MNO 1 or MNOs]</w:t>
      </w:r>
      <w:r>
        <w:t xml:space="preserve"> shall provide accurate information on the characteristics of</w:t>
      </w:r>
      <w:r w:rsidR="006911B5">
        <w:t xml:space="preserve"> the</w:t>
      </w:r>
      <w:r>
        <w:t xml:space="preserve"> mobile network infrastructure</w:t>
      </w:r>
      <w:r w:rsidR="006911B5">
        <w:t xml:space="preserve"> required for the analysis of </w:t>
      </w:r>
      <w:r w:rsidR="004605F2">
        <w:t>MNO data</w:t>
      </w:r>
      <w:r w:rsidR="003E3A13">
        <w:t xml:space="preserve"> shared</w:t>
      </w:r>
      <w:r w:rsidR="006911B5">
        <w:t xml:space="preserve"> </w:t>
      </w:r>
      <w:r>
        <w:t>under</w:t>
      </w:r>
      <w:r w:rsidR="00C51A56">
        <w:t xml:space="preserve"> the applicable data sharing agreement and</w:t>
      </w:r>
      <w:r>
        <w:t xml:space="preserve"> the terms and conditions set forth in this </w:t>
      </w:r>
      <w:r w:rsidR="004605F2">
        <w:t>Agreement</w:t>
      </w:r>
      <w:r>
        <w:t>.</w:t>
      </w:r>
    </w:p>
    <w:p w14:paraId="6AC95DC9" w14:textId="23899423" w:rsidR="00CB5DD2" w:rsidRDefault="003E76C0" w:rsidP="00CB5DD2">
      <w:pPr>
        <w:pStyle w:val="Heading3"/>
      </w:pPr>
      <w:r w:rsidRPr="00E80114">
        <w:rPr>
          <w:i/>
          <w:iCs/>
          <w:color w:val="BF4E14" w:themeColor="accent2" w:themeShade="BF"/>
        </w:rPr>
        <w:lastRenderedPageBreak/>
        <w:t>[MNO 1 or MNOs]</w:t>
      </w:r>
      <w:r w:rsidR="00CB5DD2">
        <w:t xml:space="preserve"> shall cooperate with </w:t>
      </w:r>
      <w:r w:rsidRPr="00E80114">
        <w:rPr>
          <w:color w:val="BF4E14" w:themeColor="accent2" w:themeShade="BF"/>
        </w:rPr>
        <w:t>[</w:t>
      </w:r>
      <w:r>
        <w:rPr>
          <w:i/>
          <w:iCs/>
          <w:color w:val="BF4E14" w:themeColor="accent2" w:themeShade="BF"/>
        </w:rPr>
        <w:t>NSO</w:t>
      </w:r>
      <w:r w:rsidRPr="00E80114">
        <w:rPr>
          <w:color w:val="BF4E14" w:themeColor="accent2" w:themeShade="BF"/>
        </w:rPr>
        <w:t>]</w:t>
      </w:r>
      <w:r>
        <w:rPr>
          <w:color w:val="BF4E14" w:themeColor="accent2" w:themeShade="BF"/>
        </w:rPr>
        <w:t xml:space="preserve"> </w:t>
      </w:r>
      <w:r w:rsidR="00CB5DD2">
        <w:t xml:space="preserve">and </w:t>
      </w: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Pr>
          <w:color w:val="BF4E14" w:themeColor="accent2" w:themeShade="BF"/>
        </w:rPr>
        <w:t xml:space="preserve"> </w:t>
      </w:r>
      <w:r w:rsidR="00CB5DD2">
        <w:t xml:space="preserve">to ensure the completeness and quality of data shared, in line with the agreed </w:t>
      </w:r>
      <w:r w:rsidR="003E3A13">
        <w:t xml:space="preserve">specifications in dedicated </w:t>
      </w:r>
      <w:r w:rsidR="00C51A56">
        <w:t>data sharing agreements</w:t>
      </w:r>
      <w:r w:rsidR="00CB5DD2">
        <w:t>.</w:t>
      </w:r>
    </w:p>
    <w:p w14:paraId="3254F540" w14:textId="51ABDBB5" w:rsidR="00430989" w:rsidRDefault="00430989" w:rsidP="00430989">
      <w:pPr>
        <w:pStyle w:val="Heading3"/>
      </w:pPr>
      <w:r w:rsidRPr="00E80114">
        <w:rPr>
          <w:color w:val="BF4E14" w:themeColor="accent2" w:themeShade="BF"/>
        </w:rPr>
        <w:t>[</w:t>
      </w:r>
      <w:r w:rsidR="00CB211A" w:rsidRPr="00E80114">
        <w:rPr>
          <w:i/>
          <w:iCs/>
          <w:color w:val="BF4E14" w:themeColor="accent2" w:themeShade="BF"/>
        </w:rPr>
        <w:t>MNO 1 or MNOs</w:t>
      </w:r>
      <w:r w:rsidRPr="00E80114">
        <w:rPr>
          <w:color w:val="BF4E14" w:themeColor="accent2" w:themeShade="BF"/>
        </w:rPr>
        <w:t>]</w:t>
      </w:r>
      <w:r>
        <w:t xml:space="preserve"> shall ensure that the necessary infrastructure is maintained and adequate for </w:t>
      </w:r>
      <w:r w:rsidR="00CB211A">
        <w:t xml:space="preserve">the storage and timely processing of </w:t>
      </w:r>
      <w:r w:rsidR="00C51A56">
        <w:t xml:space="preserve">Tier I </w:t>
      </w:r>
      <w:r w:rsidR="00CB211A">
        <w:t>MNO data</w:t>
      </w:r>
      <w:r>
        <w:t>.</w:t>
      </w:r>
    </w:p>
    <w:p w14:paraId="2486035C" w14:textId="7A8028BC" w:rsidR="00CB211A" w:rsidRPr="00CB211A" w:rsidRDefault="00CB211A" w:rsidP="00CB211A">
      <w:pPr>
        <w:pStyle w:val="Heading3"/>
      </w:pPr>
      <w:r w:rsidRPr="00E80114">
        <w:rPr>
          <w:color w:val="BF4E14" w:themeColor="accent2" w:themeShade="BF"/>
        </w:rPr>
        <w:t>[</w:t>
      </w:r>
      <w:r w:rsidRPr="00E80114">
        <w:rPr>
          <w:i/>
          <w:iCs/>
          <w:color w:val="BF4E14" w:themeColor="accent2" w:themeShade="BF"/>
        </w:rPr>
        <w:t>MNO 1 or MNOs</w:t>
      </w:r>
      <w:r w:rsidRPr="00E80114">
        <w:rPr>
          <w:color w:val="BF4E14" w:themeColor="accent2" w:themeShade="BF"/>
        </w:rPr>
        <w:t>]</w:t>
      </w:r>
      <w:r>
        <w:t xml:space="preserve"> shall set up and maintain </w:t>
      </w:r>
      <w:r w:rsidR="00202BB4">
        <w:t xml:space="preserve">a secure network protocol such as a Secure Shell Connection (SSH) </w:t>
      </w:r>
      <w:r w:rsidR="00320126" w:rsidRPr="00320126">
        <w:t xml:space="preserve">to ensure the secure provision of data access to authorized government entities and external technical partners, in accordance with the terms outlined in the relevant </w:t>
      </w:r>
      <w:r w:rsidR="00C51A56">
        <w:t>data sharing agreements</w:t>
      </w:r>
      <w:r>
        <w:t>.</w:t>
      </w:r>
    </w:p>
    <w:p w14:paraId="4A1FE141" w14:textId="77777777" w:rsidR="00CB5DD2" w:rsidRDefault="00CB5DD2" w:rsidP="00CB5DD2">
      <w:pPr>
        <w:pStyle w:val="Heading1"/>
      </w:pPr>
      <w:r>
        <w:t>Governance</w:t>
      </w:r>
    </w:p>
    <w:p w14:paraId="778432F9" w14:textId="61CC3891" w:rsidR="00F466E9" w:rsidRDefault="00CB5DD2" w:rsidP="00CB5DD2">
      <w:pPr>
        <w:pStyle w:val="Heading2"/>
      </w:pPr>
      <w:r>
        <w:t xml:space="preserve">The Parties shall create a </w:t>
      </w:r>
      <w:r w:rsidR="003E76C0" w:rsidRPr="003E76C0">
        <w:rPr>
          <w:i/>
          <w:iCs/>
          <w:color w:val="BF4E14" w:themeColor="accent2" w:themeShade="BF"/>
        </w:rPr>
        <w:t xml:space="preserve">[Name of the coordination mechanism, e.g. </w:t>
      </w:r>
      <w:r w:rsidR="00F466E9">
        <w:rPr>
          <w:i/>
          <w:iCs/>
          <w:color w:val="BF4E14" w:themeColor="accent2" w:themeShade="BF"/>
        </w:rPr>
        <w:t>Joint Steering Committee, or Coordination Board</w:t>
      </w:r>
      <w:r w:rsidR="003E76C0" w:rsidRPr="003E76C0">
        <w:rPr>
          <w:i/>
          <w:iCs/>
          <w:color w:val="BF4E14" w:themeColor="accent2" w:themeShade="BF"/>
        </w:rPr>
        <w:t>]</w:t>
      </w:r>
      <w:r w:rsidR="003E76C0">
        <w:t xml:space="preserve"> </w:t>
      </w:r>
      <w:r>
        <w:t xml:space="preserve">for strategic oversight for (i) the data pipeline development, (ii) the sustainability of the data pipeline. This mechanism will give stakeholders a voice, help decision-making coordination, and support dispute resolution as required for the purposes of this </w:t>
      </w:r>
      <w:r w:rsidR="00C51A56">
        <w:t>Agreement</w:t>
      </w:r>
      <w:r>
        <w:t>.</w:t>
      </w:r>
    </w:p>
    <w:p w14:paraId="44115BF2" w14:textId="7047E5E2" w:rsidR="00CB5DD2" w:rsidRDefault="00CB5DD2" w:rsidP="00CB5DD2">
      <w:pPr>
        <w:pStyle w:val="Heading2"/>
      </w:pPr>
      <w:r>
        <w:t xml:space="preserve">The </w:t>
      </w:r>
      <w:r w:rsidR="00F466E9" w:rsidRPr="003E76C0">
        <w:rPr>
          <w:i/>
          <w:iCs/>
          <w:color w:val="BF4E14" w:themeColor="accent2" w:themeShade="BF"/>
        </w:rPr>
        <w:t>[Name of the coordination mechanism]</w:t>
      </w:r>
      <w:r>
        <w:t xml:space="preserve"> </w:t>
      </w:r>
      <w:r w:rsidR="00F466E9">
        <w:t xml:space="preserve">shall convene a </w:t>
      </w:r>
      <w:r w:rsidR="00F466E9" w:rsidRPr="00F466E9">
        <w:rPr>
          <w:i/>
          <w:iCs/>
          <w:color w:val="BF4E14" w:themeColor="accent2" w:themeShade="BF"/>
        </w:rPr>
        <w:t>[frequency of meeting, e.g. quarterly]</w:t>
      </w:r>
      <w:r>
        <w:t xml:space="preserve"> </w:t>
      </w:r>
      <w:r w:rsidR="00F466E9">
        <w:t xml:space="preserve">meeting </w:t>
      </w:r>
      <w:r>
        <w:t xml:space="preserve">to review progress, identify challenges and make recommendations </w:t>
      </w:r>
      <w:r w:rsidR="00F466E9">
        <w:t xml:space="preserve">and decisions </w:t>
      </w:r>
      <w:r>
        <w:t>as necessary.</w:t>
      </w:r>
    </w:p>
    <w:p w14:paraId="69012AE1" w14:textId="74A8CE52" w:rsidR="00CB5DD2" w:rsidRDefault="00C50CFC" w:rsidP="00C50CFC">
      <w:pPr>
        <w:pStyle w:val="Heading2"/>
      </w:pPr>
      <w:r>
        <w:t xml:space="preserve">The minimum quorum for each meeting of the </w:t>
      </w:r>
      <w:r w:rsidRPr="003E76C0">
        <w:rPr>
          <w:i/>
          <w:iCs/>
          <w:color w:val="BF4E14" w:themeColor="accent2" w:themeShade="BF"/>
        </w:rPr>
        <w:t>[Name of the coordination mechanism]</w:t>
      </w:r>
      <w:r w:rsidRPr="00C50CFC">
        <w:t xml:space="preserve"> </w:t>
      </w:r>
      <w:r>
        <w:t xml:space="preserve">shall be: (i) </w:t>
      </w:r>
      <w:r w:rsidRPr="00C50CFC">
        <w:rPr>
          <w:i/>
          <w:iCs/>
          <w:color w:val="BF4E14" w:themeColor="accent2" w:themeShade="BF"/>
        </w:rPr>
        <w:t>[X]</w:t>
      </w:r>
      <w:r>
        <w:t xml:space="preserve"> representatives from </w:t>
      </w:r>
      <w:r w:rsidRPr="00C50CFC">
        <w:rPr>
          <w:i/>
          <w:iCs/>
          <w:color w:val="BF4E14" w:themeColor="accent2" w:themeShade="BF"/>
        </w:rPr>
        <w:t>[NSO]</w:t>
      </w:r>
      <w:r>
        <w:t xml:space="preserve">, (ii) </w:t>
      </w:r>
      <w:r w:rsidRPr="00C50CFC">
        <w:rPr>
          <w:i/>
          <w:iCs/>
          <w:color w:val="BF4E14" w:themeColor="accent2" w:themeShade="BF"/>
        </w:rPr>
        <w:t>[X]</w:t>
      </w:r>
      <w:r>
        <w:t xml:space="preserve"> representatives from </w:t>
      </w:r>
      <w:r w:rsidRPr="00C50CFC">
        <w:rPr>
          <w:i/>
          <w:iCs/>
          <w:color w:val="BF4E14" w:themeColor="accent2" w:themeShade="BF"/>
        </w:rPr>
        <w:t>[Regulator]</w:t>
      </w:r>
      <w:r>
        <w:t>,</w:t>
      </w:r>
      <w:r w:rsidRPr="00C50CFC">
        <w:t xml:space="preserve"> </w:t>
      </w:r>
      <w:r>
        <w:t xml:space="preserve">(iii) </w:t>
      </w:r>
      <w:r w:rsidRPr="00791E9E">
        <w:rPr>
          <w:i/>
          <w:iCs/>
          <w:color w:val="BF4E14" w:themeColor="accent2" w:themeShade="BF"/>
        </w:rPr>
        <w:t>[X]</w:t>
      </w:r>
      <w:r w:rsidRPr="00791E9E">
        <w:rPr>
          <w:color w:val="BF4E14" w:themeColor="accent2" w:themeShade="BF"/>
        </w:rPr>
        <w:t xml:space="preserve"> </w:t>
      </w:r>
      <w:r>
        <w:t xml:space="preserve">representatives from each participating MNO. </w:t>
      </w:r>
      <w:r w:rsidRPr="00C50CFC">
        <w:t>If the quorum is not met, the meeting may proceed for discussion purposes only, but no formal decisions shall be taken.</w:t>
      </w:r>
    </w:p>
    <w:p w14:paraId="03CE8D0B" w14:textId="680BF868" w:rsidR="00C50CFC" w:rsidRDefault="00C50CFC" w:rsidP="00C50CFC">
      <w:pPr>
        <w:pStyle w:val="Heading2"/>
      </w:pPr>
      <w:r w:rsidRPr="00C50CFC">
        <w:t>In exceptional cases where urgent decisions are required and a quorum cannot be physically met, virtual attendance and decision-making through electronic means may be permitted, subject to prior agreement by all Parties.</w:t>
      </w:r>
    </w:p>
    <w:p w14:paraId="6499649B" w14:textId="72A35C60" w:rsidR="00C50CFC" w:rsidRPr="00C50CFC" w:rsidRDefault="00C50CFC" w:rsidP="00C50CFC">
      <w:pPr>
        <w:pStyle w:val="Heading2"/>
      </w:pPr>
      <w:r w:rsidRPr="00C50CFC">
        <w:rPr>
          <w:color w:val="BF4E14" w:themeColor="accent2" w:themeShade="BF"/>
        </w:rPr>
        <w:t>[</w:t>
      </w:r>
      <w:r w:rsidRPr="00C50CFC">
        <w:rPr>
          <w:i/>
          <w:iCs/>
          <w:color w:val="BF4E14" w:themeColor="accent2" w:themeShade="BF"/>
        </w:rPr>
        <w:t>Other clauses establishing governance rules as required</w:t>
      </w:r>
      <w:r w:rsidRPr="00C50CFC">
        <w:rPr>
          <w:color w:val="BF4E14" w:themeColor="accent2" w:themeShade="BF"/>
        </w:rPr>
        <w:t>]</w:t>
      </w:r>
    </w:p>
    <w:p w14:paraId="6CFDAA76" w14:textId="1DAE90EF" w:rsidR="00320126" w:rsidRDefault="00890E9E" w:rsidP="00320126">
      <w:pPr>
        <w:pStyle w:val="Heading1"/>
      </w:pPr>
      <w:bookmarkStart w:id="8" w:name="_Ref200106106"/>
      <w:bookmarkStart w:id="9" w:name="_Ref197099754"/>
      <w:r>
        <w:rPr>
          <w:lang w:val="en-IE"/>
        </w:rPr>
        <w:t>Access to Tier I nano data on MNO’s server</w:t>
      </w:r>
      <w:bookmarkEnd w:id="8"/>
    </w:p>
    <w:p w14:paraId="5A815160" w14:textId="484FDD10" w:rsidR="00320126" w:rsidRPr="00C55552" w:rsidRDefault="00320126" w:rsidP="00320126">
      <w:pPr>
        <w:pStyle w:val="Heading2"/>
        <w:numPr>
          <w:ilvl w:val="0"/>
          <w:numId w:val="0"/>
        </w:numPr>
        <w:ind w:left="576"/>
      </w:pPr>
      <w:r w:rsidRPr="00C9653E">
        <w:rPr>
          <w:i/>
          <w:iCs/>
          <w:color w:val="0070C0"/>
        </w:rPr>
        <w:t>[Th</w:t>
      </w:r>
      <w:r>
        <w:rPr>
          <w:i/>
          <w:iCs/>
          <w:color w:val="0070C0"/>
        </w:rPr>
        <w:t>is clause regulates the access to Tier I data on MNOs’ servers for processing, for both government entities and potential external partners.]</w:t>
      </w:r>
    </w:p>
    <w:p w14:paraId="7605A641" w14:textId="1A4967BC" w:rsidR="00320126" w:rsidRPr="00391827" w:rsidRDefault="00320126" w:rsidP="00320126">
      <w:pPr>
        <w:pStyle w:val="Heading2"/>
        <w:rPr>
          <w:i/>
          <w:iCs/>
        </w:rPr>
      </w:pPr>
      <w:r w:rsidRPr="00391827">
        <w:rPr>
          <w:i/>
          <w:iCs/>
          <w:color w:val="0070C0"/>
        </w:rPr>
        <w:t xml:space="preserve">[This clause </w:t>
      </w:r>
      <w:r w:rsidR="005B5DCB">
        <w:rPr>
          <w:i/>
          <w:iCs/>
          <w:color w:val="0070C0"/>
        </w:rPr>
        <w:t>governs</w:t>
      </w:r>
      <w:r w:rsidRPr="00391827">
        <w:rPr>
          <w:i/>
          <w:iCs/>
          <w:color w:val="0070C0"/>
        </w:rPr>
        <w:t xml:space="preserve"> access</w:t>
      </w:r>
      <w:r w:rsidR="005B5DCB">
        <w:rPr>
          <w:i/>
          <w:iCs/>
          <w:color w:val="0070C0"/>
        </w:rPr>
        <w:t xml:space="preserve"> to</w:t>
      </w:r>
      <w:r w:rsidRPr="00391827">
        <w:rPr>
          <w:i/>
          <w:iCs/>
          <w:color w:val="0070C0"/>
        </w:rPr>
        <w:t xml:space="preserve"> Tier I </w:t>
      </w:r>
      <w:r w:rsidR="00122610">
        <w:rPr>
          <w:i/>
          <w:iCs/>
          <w:color w:val="0070C0"/>
        </w:rPr>
        <w:t xml:space="preserve">nano </w:t>
      </w:r>
      <w:r w:rsidRPr="00391827">
        <w:rPr>
          <w:i/>
          <w:iCs/>
          <w:color w:val="0070C0"/>
        </w:rPr>
        <w:t xml:space="preserve">data stored on </w:t>
      </w:r>
      <w:r w:rsidR="005B5DCB">
        <w:rPr>
          <w:i/>
          <w:iCs/>
          <w:color w:val="0070C0"/>
        </w:rPr>
        <w:t>MNO</w:t>
      </w:r>
      <w:r w:rsidRPr="00391827">
        <w:rPr>
          <w:i/>
          <w:iCs/>
          <w:color w:val="0070C0"/>
        </w:rPr>
        <w:t>s</w:t>
      </w:r>
      <w:r w:rsidR="005B5DCB">
        <w:rPr>
          <w:i/>
          <w:iCs/>
          <w:color w:val="0070C0"/>
        </w:rPr>
        <w:t>’</w:t>
      </w:r>
      <w:r w:rsidRPr="00391827">
        <w:rPr>
          <w:i/>
          <w:iCs/>
          <w:color w:val="0070C0"/>
        </w:rPr>
        <w:t xml:space="preserve"> server</w:t>
      </w:r>
      <w:r w:rsidR="005B5DCB">
        <w:rPr>
          <w:i/>
          <w:iCs/>
          <w:color w:val="0070C0"/>
        </w:rPr>
        <w:t>s</w:t>
      </w:r>
      <w:r w:rsidRPr="00391827">
        <w:rPr>
          <w:i/>
          <w:iCs/>
          <w:color w:val="0070C0"/>
        </w:rPr>
        <w:t xml:space="preserve"> for processing</w:t>
      </w:r>
      <w:r w:rsidR="00DC6D56" w:rsidRPr="00DC6D56">
        <w:rPr>
          <w:i/>
          <w:iCs/>
          <w:color w:val="0070C0"/>
          <w:u w:val="single"/>
        </w:rPr>
        <w:t xml:space="preserve"> for government</w:t>
      </w:r>
      <w:r w:rsidR="00DC6D56" w:rsidRPr="00DC6D56">
        <w:rPr>
          <w:i/>
          <w:iCs/>
          <w:color w:val="0070C0"/>
          <w:u w:val="single"/>
          <w:lang w:val="en-IE"/>
        </w:rPr>
        <w:t xml:space="preserve"> entities</w:t>
      </w:r>
      <w:r w:rsidRPr="00391827">
        <w:rPr>
          <w:i/>
          <w:iCs/>
          <w:color w:val="0070C0"/>
        </w:rPr>
        <w:t xml:space="preserve">. The template provides </w:t>
      </w:r>
      <w:r w:rsidR="005B5DCB">
        <w:rPr>
          <w:i/>
          <w:iCs/>
          <w:color w:val="0070C0"/>
        </w:rPr>
        <w:t>two</w:t>
      </w:r>
      <w:r w:rsidRPr="00391827">
        <w:rPr>
          <w:i/>
          <w:iCs/>
          <w:color w:val="0070C0"/>
        </w:rPr>
        <w:t xml:space="preserve"> implementation options</w:t>
      </w:r>
      <w:r w:rsidR="005B5DCB">
        <w:rPr>
          <w:i/>
          <w:iCs/>
          <w:color w:val="0070C0"/>
        </w:rPr>
        <w:t>. Both alternatives may be included in the MoU to provide for flexibility, especially in a multi-MNO context where MNOs may prefer distinct options</w:t>
      </w:r>
      <w:r w:rsidRPr="00391827">
        <w:rPr>
          <w:i/>
          <w:iCs/>
          <w:color w:val="0070C0"/>
        </w:rPr>
        <w:t>.]</w:t>
      </w:r>
    </w:p>
    <w:p w14:paraId="3C0227C0" w14:textId="72B6AED3" w:rsidR="00DC7B52" w:rsidRDefault="00320126" w:rsidP="00320126">
      <w:pPr>
        <w:pStyle w:val="Heading2"/>
        <w:numPr>
          <w:ilvl w:val="0"/>
          <w:numId w:val="0"/>
        </w:numPr>
        <w:ind w:left="576"/>
      </w:pPr>
      <w:r w:rsidRPr="00391827">
        <w:rPr>
          <w:i/>
          <w:iCs/>
          <w:color w:val="0070C0"/>
        </w:rPr>
        <w:lastRenderedPageBreak/>
        <w:t xml:space="preserve">[Option 1: </w:t>
      </w:r>
      <w:r w:rsidR="00CA0E12">
        <w:rPr>
          <w:i/>
          <w:iCs/>
          <w:color w:val="0070C0"/>
        </w:rPr>
        <w:t xml:space="preserve">access to a </w:t>
      </w:r>
      <w:r w:rsidR="00B6336C">
        <w:rPr>
          <w:i/>
          <w:iCs/>
          <w:color w:val="0070C0"/>
        </w:rPr>
        <w:t>continuous flow</w:t>
      </w:r>
      <w:r w:rsidR="00B6336C">
        <w:rPr>
          <w:i/>
          <w:iCs/>
          <w:color w:val="0070C0"/>
          <w:lang w:val="en-IE"/>
        </w:rPr>
        <w:t xml:space="preserve"> of data </w:t>
      </w:r>
      <w:r>
        <w:rPr>
          <w:i/>
          <w:iCs/>
          <w:color w:val="0070C0"/>
        </w:rPr>
        <w:t>governed directly by</w:t>
      </w:r>
      <w:r w:rsidRPr="00391827">
        <w:rPr>
          <w:i/>
          <w:iCs/>
          <w:color w:val="0070C0"/>
        </w:rPr>
        <w:t xml:space="preserve"> the MoU </w:t>
      </w:r>
      <w:r w:rsidR="00DC7B52">
        <w:rPr>
          <w:i/>
          <w:iCs/>
          <w:color w:val="0070C0"/>
        </w:rPr>
        <w:t xml:space="preserve">with data specifications and </w:t>
      </w:r>
      <w:r w:rsidRPr="00391827">
        <w:rPr>
          <w:i/>
          <w:iCs/>
          <w:color w:val="0070C0"/>
        </w:rPr>
        <w:t>a list of pre-approved individuals</w:t>
      </w:r>
      <w:r w:rsidR="00DC7B52">
        <w:rPr>
          <w:i/>
          <w:iCs/>
          <w:color w:val="0070C0"/>
        </w:rPr>
        <w:t xml:space="preserve"> included in appendix</w:t>
      </w:r>
      <w:r w:rsidR="00AC2489">
        <w:rPr>
          <w:i/>
          <w:iCs/>
          <w:color w:val="0070C0"/>
        </w:rPr>
        <w:t xml:space="preserve">. </w:t>
      </w:r>
      <w:r w:rsidR="00AC2489" w:rsidRPr="00AC2489">
        <w:rPr>
          <w:i/>
          <w:iCs/>
          <w:color w:val="0070C0"/>
        </w:rPr>
        <w:t>This option is most appropriate when no compensation arrangement is anticipated. If compensation is involved, a legally binding instrument</w:t>
      </w:r>
      <w:r w:rsidR="00AC2489">
        <w:rPr>
          <w:i/>
          <w:iCs/>
          <w:color w:val="0070C0"/>
        </w:rPr>
        <w:t xml:space="preserve"> – </w:t>
      </w:r>
      <w:r w:rsidR="00AC2489" w:rsidRPr="00AC2489">
        <w:rPr>
          <w:i/>
          <w:iCs/>
          <w:color w:val="0070C0"/>
        </w:rPr>
        <w:t>such as a Data Sharing Agreement (DSA)</w:t>
      </w:r>
      <w:r w:rsidR="00C51A56">
        <w:rPr>
          <w:i/>
          <w:iCs/>
          <w:color w:val="0070C0"/>
        </w:rPr>
        <w:t xml:space="preserve"> </w:t>
      </w:r>
      <w:r w:rsidR="00AC2489">
        <w:rPr>
          <w:i/>
          <w:iCs/>
          <w:color w:val="0070C0"/>
        </w:rPr>
        <w:t xml:space="preserve">– </w:t>
      </w:r>
      <w:r w:rsidR="00DC6D56">
        <w:rPr>
          <w:i/>
          <w:iCs/>
          <w:color w:val="0070C0"/>
        </w:rPr>
        <w:t>should be preferred</w:t>
      </w:r>
      <w:r w:rsidR="00AC2489" w:rsidRPr="00AC2489">
        <w:rPr>
          <w:i/>
          <w:iCs/>
          <w:color w:val="0070C0"/>
        </w:rPr>
        <w:t xml:space="preserve"> instead (see Option 2)</w:t>
      </w:r>
      <w:r w:rsidR="00AC2489">
        <w:rPr>
          <w:i/>
          <w:iCs/>
          <w:color w:val="0070C0"/>
        </w:rPr>
        <w:t>.</w:t>
      </w:r>
      <w:r w:rsidRPr="00391827">
        <w:rPr>
          <w:i/>
          <w:iCs/>
          <w:color w:val="0070C0"/>
        </w:rPr>
        <w:t>]</w:t>
      </w:r>
      <w:r>
        <w:t xml:space="preserve"> </w:t>
      </w:r>
      <w:r w:rsidR="00DC7B52">
        <w:t xml:space="preserve">Under this agreement, </w:t>
      </w:r>
      <w:r w:rsidR="00DC7B52" w:rsidRPr="00E80114">
        <w:rPr>
          <w:color w:val="BF4E14" w:themeColor="accent2" w:themeShade="BF"/>
        </w:rPr>
        <w:t>[</w:t>
      </w:r>
      <w:r w:rsidR="00DC7B52" w:rsidRPr="00E80114">
        <w:rPr>
          <w:i/>
          <w:iCs/>
          <w:color w:val="BF4E14" w:themeColor="accent2" w:themeShade="BF"/>
        </w:rPr>
        <w:t>MNO 1 or MNOs</w:t>
      </w:r>
      <w:r w:rsidR="00DC7B52" w:rsidRPr="00E80114">
        <w:rPr>
          <w:color w:val="BF4E14" w:themeColor="accent2" w:themeShade="BF"/>
        </w:rPr>
        <w:t>]</w:t>
      </w:r>
      <w:r w:rsidR="00DC7B52">
        <w:t xml:space="preserve"> shall host Tier I nan</w:t>
      </w:r>
      <w:r w:rsidR="00CB050D">
        <w:t>o</w:t>
      </w:r>
      <w:r w:rsidR="00DC7B52">
        <w:t xml:space="preserve"> data on a dedicated server in accordance with specifications provided in the Data Specifications Sheet, included in Appendix 1 of this Agreement. The data shall be uploaded </w:t>
      </w:r>
      <w:r w:rsidR="00DC7B52" w:rsidRPr="00C50CFC">
        <w:rPr>
          <w:i/>
          <w:iCs/>
          <w:color w:val="BF4E14" w:themeColor="accent2" w:themeShade="BF"/>
        </w:rPr>
        <w:t xml:space="preserve">[frequency of data </w:t>
      </w:r>
      <w:r w:rsidR="00DC7B52">
        <w:rPr>
          <w:i/>
          <w:iCs/>
          <w:color w:val="BF4E14" w:themeColor="accent2" w:themeShade="BF"/>
        </w:rPr>
        <w:t>upload</w:t>
      </w:r>
      <w:r w:rsidR="00DC7B52" w:rsidRPr="00C50CFC">
        <w:rPr>
          <w:i/>
          <w:iCs/>
          <w:color w:val="BF4E14" w:themeColor="accent2" w:themeShade="BF"/>
        </w:rPr>
        <w:t>, e.g. quarterly]</w:t>
      </w:r>
      <w:r w:rsidR="00DC7B52">
        <w:t xml:space="preserve">, specifically </w:t>
      </w:r>
      <w:r w:rsidR="00DC7B52" w:rsidRPr="00C50CFC">
        <w:rPr>
          <w:i/>
          <w:iCs/>
          <w:color w:val="BF4E14" w:themeColor="accent2" w:themeShade="BF"/>
        </w:rPr>
        <w:t xml:space="preserve">[specify systematic </w:t>
      </w:r>
      <w:r w:rsidR="00DC7B52">
        <w:rPr>
          <w:i/>
          <w:iCs/>
          <w:color w:val="BF4E14" w:themeColor="accent2" w:themeShade="BF"/>
        </w:rPr>
        <w:t>upload</w:t>
      </w:r>
      <w:r w:rsidR="00DC7B52" w:rsidRPr="00C50CFC">
        <w:rPr>
          <w:i/>
          <w:iCs/>
          <w:color w:val="BF4E14" w:themeColor="accent2" w:themeShade="BF"/>
        </w:rPr>
        <w:t xml:space="preserve"> dates; for instance, if quarterly </w:t>
      </w:r>
      <w:r w:rsidR="00DC7B52">
        <w:rPr>
          <w:i/>
          <w:iCs/>
          <w:color w:val="BF4E14" w:themeColor="accent2" w:themeShade="BF"/>
        </w:rPr>
        <w:t>upload</w:t>
      </w:r>
      <w:r w:rsidR="00DC7B52" w:rsidRPr="00C50CFC">
        <w:rPr>
          <w:i/>
          <w:iCs/>
          <w:color w:val="BF4E14" w:themeColor="accent2" w:themeShade="BF"/>
        </w:rPr>
        <w:t>: “on the first day of January, April, July, and October each year”]</w:t>
      </w:r>
      <w:r w:rsidR="00DC7B52">
        <w:t>. Each new data upload shall cover the period from the day following the last day of the previous data upload period up to the day preceding the current upload date.</w:t>
      </w:r>
    </w:p>
    <w:p w14:paraId="51C7FB2E" w14:textId="13264B55" w:rsidR="00320126" w:rsidRDefault="00320126" w:rsidP="00320126">
      <w:pPr>
        <w:pStyle w:val="Heading2"/>
        <w:numPr>
          <w:ilvl w:val="0"/>
          <w:numId w:val="0"/>
        </w:numPr>
        <w:ind w:left="576"/>
      </w:pPr>
      <w:r>
        <w:t xml:space="preserve">A list of authorized personnel </w:t>
      </w:r>
      <w:r w:rsidR="00B6336C">
        <w:t xml:space="preserve">from </w:t>
      </w:r>
      <w:r w:rsidR="00B6336C" w:rsidRPr="004F12C7">
        <w:rPr>
          <w:i/>
          <w:iCs/>
          <w:color w:val="BF4E14" w:themeColor="accent2" w:themeShade="BF"/>
        </w:rPr>
        <w:t>[NSO]</w:t>
      </w:r>
      <w:r w:rsidR="00B6336C">
        <w:t xml:space="preserve">, </w:t>
      </w:r>
      <w:r w:rsidR="00B6336C" w:rsidRPr="004F12C7">
        <w:rPr>
          <w:i/>
          <w:iCs/>
          <w:color w:val="BF4E14" w:themeColor="accent2" w:themeShade="BF"/>
        </w:rPr>
        <w:t>[</w:t>
      </w:r>
      <w:r w:rsidR="00B6336C">
        <w:rPr>
          <w:i/>
          <w:iCs/>
          <w:color w:val="BF4E14" w:themeColor="accent2" w:themeShade="BF"/>
        </w:rPr>
        <w:t>Regulator</w:t>
      </w:r>
      <w:r w:rsidR="00B6336C" w:rsidRPr="004F12C7">
        <w:rPr>
          <w:i/>
          <w:iCs/>
          <w:color w:val="BF4E14" w:themeColor="accent2" w:themeShade="BF"/>
        </w:rPr>
        <w:t>]</w:t>
      </w:r>
      <w:r w:rsidR="00B6336C" w:rsidRPr="004F12C7">
        <w:t xml:space="preserve"> </w:t>
      </w:r>
      <w:r w:rsidR="00B6336C">
        <w:t>and potentially from other</w:t>
      </w:r>
      <w:r>
        <w:t xml:space="preserve"> government entities shall be granted access to</w:t>
      </w:r>
      <w:r w:rsidR="00DC7B52">
        <w:t xml:space="preserve"> </w:t>
      </w:r>
      <w:r w:rsidR="00DC7B52" w:rsidRPr="00E80114">
        <w:rPr>
          <w:color w:val="BF4E14" w:themeColor="accent2" w:themeShade="BF"/>
        </w:rPr>
        <w:t>[</w:t>
      </w:r>
      <w:r w:rsidR="00DC7B52" w:rsidRPr="00E80114">
        <w:rPr>
          <w:i/>
          <w:iCs/>
          <w:color w:val="BF4E14" w:themeColor="accent2" w:themeShade="BF"/>
        </w:rPr>
        <w:t>MNO 1 or MNOs</w:t>
      </w:r>
      <w:r w:rsidR="00DC7B52" w:rsidRPr="00E80114">
        <w:rPr>
          <w:color w:val="BF4E14" w:themeColor="accent2" w:themeShade="BF"/>
        </w:rPr>
        <w:t>]</w:t>
      </w:r>
      <w:r>
        <w:t xml:space="preserve">’s </w:t>
      </w:r>
      <w:r w:rsidR="00B6336C">
        <w:t xml:space="preserve">dedicated </w:t>
      </w:r>
      <w:r>
        <w:t xml:space="preserve">server to access and process Tier I </w:t>
      </w:r>
      <w:r w:rsidR="00C51A56">
        <w:t xml:space="preserve">nano </w:t>
      </w:r>
      <w:r>
        <w:t xml:space="preserve">data using the designated secure network protocol. Each authorized individual will be assigned unique credentials. The list of individuals approved for data access under this Agreement is provided in Appendix </w:t>
      </w:r>
      <w:r w:rsidR="00C51A56">
        <w:t>2</w:t>
      </w:r>
      <w:r>
        <w:t>.</w:t>
      </w:r>
      <w:r w:rsidRPr="00391827">
        <w:t xml:space="preserve"> </w:t>
      </w:r>
      <w:r>
        <w:t>The list of individuals pre-authorized for data access may be modified, subject to mutual agreement by all Parties.</w:t>
      </w:r>
    </w:p>
    <w:p w14:paraId="7D9F8344" w14:textId="46AE5AAA" w:rsidR="005B5DCB" w:rsidRDefault="00320126" w:rsidP="00320126">
      <w:pPr>
        <w:pStyle w:val="Heading2"/>
        <w:numPr>
          <w:ilvl w:val="0"/>
          <w:numId w:val="0"/>
        </w:numPr>
        <w:ind w:left="576"/>
      </w:pPr>
      <w:r w:rsidRPr="006149F6">
        <w:rPr>
          <w:i/>
          <w:iCs/>
          <w:color w:val="0070C0"/>
        </w:rPr>
        <w:t>[Option</w:t>
      </w:r>
      <w:r w:rsidR="00DC7B52">
        <w:rPr>
          <w:i/>
          <w:iCs/>
          <w:color w:val="0070C0"/>
        </w:rPr>
        <w:t xml:space="preserve"> 2</w:t>
      </w:r>
      <w:r w:rsidR="00F8161E">
        <w:rPr>
          <w:i/>
          <w:iCs/>
          <w:color w:val="0070C0"/>
        </w:rPr>
        <w:t xml:space="preserve"> (recommended)</w:t>
      </w:r>
      <w:r w:rsidRPr="006149F6">
        <w:rPr>
          <w:i/>
          <w:iCs/>
          <w:color w:val="0070C0"/>
        </w:rPr>
        <w:t xml:space="preserve">: </w:t>
      </w:r>
      <w:r w:rsidR="00CA0E12">
        <w:rPr>
          <w:i/>
          <w:iCs/>
          <w:color w:val="0070C0"/>
        </w:rPr>
        <w:t xml:space="preserve">specific data access </w:t>
      </w:r>
      <w:r w:rsidRPr="006149F6">
        <w:rPr>
          <w:i/>
          <w:iCs/>
          <w:color w:val="0070C0"/>
        </w:rPr>
        <w:t xml:space="preserve">governed by </w:t>
      </w:r>
      <w:r w:rsidR="00DC7B52">
        <w:rPr>
          <w:i/>
          <w:iCs/>
          <w:color w:val="0070C0"/>
        </w:rPr>
        <w:t xml:space="preserve">dedicated </w:t>
      </w:r>
      <w:r w:rsidRPr="006149F6">
        <w:rPr>
          <w:i/>
          <w:iCs/>
          <w:color w:val="0070C0"/>
        </w:rPr>
        <w:t>DSA</w:t>
      </w:r>
      <w:r w:rsidR="00C53FA8">
        <w:rPr>
          <w:i/>
          <w:iCs/>
          <w:color w:val="0070C0"/>
        </w:rPr>
        <w:t>s.</w:t>
      </w:r>
      <w:r w:rsidRPr="006149F6">
        <w:rPr>
          <w:i/>
          <w:iCs/>
          <w:color w:val="0070C0"/>
        </w:rPr>
        <w:t>]</w:t>
      </w:r>
      <w:r>
        <w:t xml:space="preserve"> </w:t>
      </w:r>
      <w:r w:rsidR="00FE0F49">
        <w:t xml:space="preserve">Access to Tier I nano data on </w:t>
      </w:r>
      <w:r w:rsidR="00FE0F49" w:rsidRPr="00E80114">
        <w:rPr>
          <w:color w:val="BF4E14" w:themeColor="accent2" w:themeShade="BF"/>
        </w:rPr>
        <w:t>[</w:t>
      </w:r>
      <w:r w:rsidR="00FE0F49" w:rsidRPr="00E80114">
        <w:rPr>
          <w:i/>
          <w:iCs/>
          <w:color w:val="BF4E14" w:themeColor="accent2" w:themeShade="BF"/>
        </w:rPr>
        <w:t>MNO 1 or MNOs</w:t>
      </w:r>
      <w:r w:rsidR="00FE0F49" w:rsidRPr="00E80114">
        <w:rPr>
          <w:color w:val="BF4E14" w:themeColor="accent2" w:themeShade="BF"/>
        </w:rPr>
        <w:t>]</w:t>
      </w:r>
      <w:r w:rsidR="00FE0F49">
        <w:t>’s</w:t>
      </w:r>
      <w:r w:rsidR="00B6336C">
        <w:t xml:space="preserve"> dedicated</w:t>
      </w:r>
      <w:r w:rsidR="00FE0F49">
        <w:t xml:space="preserve"> server for processing shall be regulated by Data Sharing Agreements</w:t>
      </w:r>
      <w:r w:rsidR="00B6336C">
        <w:t xml:space="preserve"> (DSA)</w:t>
      </w:r>
      <w:r w:rsidR="00FE0F49">
        <w:t xml:space="preserve">. </w:t>
      </w:r>
      <w:r w:rsidR="00B6336C">
        <w:t>Each</w:t>
      </w:r>
      <w:r w:rsidR="00EB0BB7">
        <w:t xml:space="preserve"> DSA must specify the terms of data access, including the specific data </w:t>
      </w:r>
      <w:r w:rsidR="00FE1B1D">
        <w:t xml:space="preserve">covered, </w:t>
      </w:r>
      <w:r w:rsidR="00EB0BB7">
        <w:t xml:space="preserve">any </w:t>
      </w:r>
      <w:r w:rsidR="00FE1B1D">
        <w:t>applicable</w:t>
      </w:r>
      <w:r w:rsidR="00EB0BB7">
        <w:t xml:space="preserve"> restrictions, the duration of access, and the intended purpose of data use</w:t>
      </w:r>
      <w:r w:rsidR="00FE0F49">
        <w:t>.</w:t>
      </w:r>
    </w:p>
    <w:p w14:paraId="5D773E23" w14:textId="77777777" w:rsidR="000F3DE4" w:rsidRDefault="00320126" w:rsidP="000F3DE4">
      <w:pPr>
        <w:pStyle w:val="Heading2"/>
        <w:numPr>
          <w:ilvl w:val="0"/>
          <w:numId w:val="0"/>
        </w:numPr>
        <w:ind w:left="576"/>
      </w:pPr>
      <w:r w:rsidRPr="006149F6">
        <w:t xml:space="preserve">The list of personnel authorized to access data shared under a specific DSA shall be explicitly defined within that agreement. </w:t>
      </w:r>
      <w:r w:rsidRPr="004F12C7">
        <w:rPr>
          <w:i/>
          <w:iCs/>
          <w:color w:val="BF4E14" w:themeColor="accent2" w:themeShade="BF"/>
        </w:rPr>
        <w:t>[</w:t>
      </w:r>
      <w:r w:rsidR="00EB0BB7" w:rsidRPr="00E80114">
        <w:rPr>
          <w:i/>
          <w:iCs/>
          <w:color w:val="BF4E14" w:themeColor="accent2" w:themeShade="BF"/>
        </w:rPr>
        <w:t>MNO 1 or MNOs</w:t>
      </w:r>
      <w:r w:rsidRPr="004F12C7">
        <w:rPr>
          <w:i/>
          <w:iCs/>
          <w:color w:val="BF4E14" w:themeColor="accent2" w:themeShade="BF"/>
        </w:rPr>
        <w:t>]</w:t>
      </w:r>
      <w:r w:rsidRPr="004F12C7">
        <w:t xml:space="preserve"> </w:t>
      </w:r>
      <w:r w:rsidRPr="006149F6">
        <w:t>shall strictly enforce the data access limitations outlined in the DSA and shall issue unique access credentials solely to those individuals authorized under its terms.</w:t>
      </w:r>
    </w:p>
    <w:p w14:paraId="6C3D6236" w14:textId="32959821" w:rsidR="000F3DE4" w:rsidRPr="000F3DE4" w:rsidRDefault="000F3DE4" w:rsidP="000F3DE4">
      <w:pPr>
        <w:pStyle w:val="Heading2"/>
        <w:numPr>
          <w:ilvl w:val="0"/>
          <w:numId w:val="0"/>
        </w:numPr>
        <w:ind w:left="576"/>
        <w:rPr>
          <w:lang w:val="en-IE"/>
        </w:rPr>
      </w:pPr>
      <w:r>
        <w:t xml:space="preserve">The DSA may include terms for compensation in consideration of the data sharing services provided </w:t>
      </w:r>
      <w:r w:rsidR="00FC6061">
        <w:t xml:space="preserve">by </w:t>
      </w:r>
      <w:r w:rsidR="00FC6061" w:rsidRPr="004F12C7">
        <w:rPr>
          <w:i/>
          <w:iCs/>
          <w:color w:val="BF4E14" w:themeColor="accent2" w:themeShade="BF"/>
        </w:rPr>
        <w:t>[</w:t>
      </w:r>
      <w:r w:rsidR="00FC6061" w:rsidRPr="00E80114">
        <w:rPr>
          <w:i/>
          <w:iCs/>
          <w:color w:val="BF4E14" w:themeColor="accent2" w:themeShade="BF"/>
        </w:rPr>
        <w:t>MNO 1 or MNOs</w:t>
      </w:r>
      <w:r w:rsidR="00FC6061" w:rsidRPr="004F12C7">
        <w:rPr>
          <w:i/>
          <w:iCs/>
          <w:color w:val="BF4E14" w:themeColor="accent2" w:themeShade="BF"/>
        </w:rPr>
        <w:t>]</w:t>
      </w:r>
      <w:r w:rsidR="00FC6061">
        <w:t xml:space="preserve"> </w:t>
      </w:r>
      <w:r>
        <w:t xml:space="preserve">under </w:t>
      </w:r>
      <w:r w:rsidR="00FC6061">
        <w:t>the</w:t>
      </w:r>
      <w:r>
        <w:t xml:space="preserve"> DSA</w:t>
      </w:r>
      <w:r>
        <w:rPr>
          <w:lang w:val="en-IE"/>
        </w:rPr>
        <w:t>.</w:t>
      </w:r>
      <w:r w:rsidR="00FC6061">
        <w:rPr>
          <w:lang w:val="en-IE"/>
        </w:rPr>
        <w:t xml:space="preserve"> </w:t>
      </w:r>
      <w:r w:rsidR="00FC6061" w:rsidRPr="00FC6061">
        <w:t>The compensation shall cover reasonable and documented costs incurred by</w:t>
      </w:r>
      <w:r w:rsidR="00FC6061">
        <w:t xml:space="preserve"> </w:t>
      </w:r>
      <w:r w:rsidR="00FC6061" w:rsidRPr="004F12C7">
        <w:rPr>
          <w:i/>
          <w:iCs/>
          <w:color w:val="BF4E14" w:themeColor="accent2" w:themeShade="BF"/>
        </w:rPr>
        <w:t>[</w:t>
      </w:r>
      <w:r w:rsidR="00FC6061" w:rsidRPr="00E80114">
        <w:rPr>
          <w:i/>
          <w:iCs/>
          <w:color w:val="BF4E14" w:themeColor="accent2" w:themeShade="BF"/>
        </w:rPr>
        <w:t>MNO 1 or MNOs</w:t>
      </w:r>
      <w:r w:rsidR="00FC6061" w:rsidRPr="004F12C7">
        <w:rPr>
          <w:i/>
          <w:iCs/>
          <w:color w:val="BF4E14" w:themeColor="accent2" w:themeShade="BF"/>
        </w:rPr>
        <w:t>]</w:t>
      </w:r>
      <w:r w:rsidR="00FC6061">
        <w:t>, including but not limited to data preparation, infrastructure use and technical support.</w:t>
      </w:r>
      <w:r w:rsidR="00955A88" w:rsidRPr="00955A88">
        <w:rPr>
          <w:i/>
          <w:iCs/>
          <w:color w:val="0070C0"/>
        </w:rPr>
        <w:t xml:space="preserve"> </w:t>
      </w:r>
      <w:r w:rsidR="00955A88" w:rsidRPr="00C9653E">
        <w:rPr>
          <w:i/>
          <w:iCs/>
          <w:color w:val="0070C0"/>
        </w:rPr>
        <w:t>[The reference to potential compensation provisions is optional and should be carefully discussed with participating MNOs to establish a mutually beneficial arrangement – whether involving monetary or non-monetary incentives.]</w:t>
      </w:r>
    </w:p>
    <w:p w14:paraId="53AC9B8F" w14:textId="48547575" w:rsidR="00320126" w:rsidRPr="00391827" w:rsidRDefault="00320126" w:rsidP="00320126">
      <w:pPr>
        <w:pStyle w:val="Heading2"/>
        <w:rPr>
          <w:i/>
          <w:iCs/>
        </w:rPr>
      </w:pPr>
      <w:bookmarkStart w:id="10" w:name="_Ref200113855"/>
      <w:r w:rsidRPr="00391827">
        <w:rPr>
          <w:i/>
          <w:iCs/>
          <w:color w:val="0070C0"/>
        </w:rPr>
        <w:t xml:space="preserve">[This clause </w:t>
      </w:r>
      <w:r>
        <w:rPr>
          <w:i/>
          <w:iCs/>
          <w:color w:val="0070C0"/>
        </w:rPr>
        <w:t>governs</w:t>
      </w:r>
      <w:r w:rsidRPr="00391827">
        <w:rPr>
          <w:i/>
          <w:iCs/>
          <w:color w:val="0070C0"/>
        </w:rPr>
        <w:t xml:space="preserve"> access </w:t>
      </w:r>
      <w:r>
        <w:rPr>
          <w:i/>
          <w:iCs/>
          <w:color w:val="0070C0"/>
        </w:rPr>
        <w:t xml:space="preserve">to </w:t>
      </w:r>
      <w:r w:rsidRPr="00391827">
        <w:rPr>
          <w:i/>
          <w:iCs/>
          <w:color w:val="0070C0"/>
        </w:rPr>
        <w:t xml:space="preserve">Tier I data stored on </w:t>
      </w:r>
      <w:r w:rsidR="005B5DCB">
        <w:rPr>
          <w:i/>
          <w:iCs/>
          <w:color w:val="0070C0"/>
        </w:rPr>
        <w:t>MNO</w:t>
      </w:r>
      <w:r w:rsidR="005B5DCB" w:rsidRPr="00391827">
        <w:rPr>
          <w:i/>
          <w:iCs/>
          <w:color w:val="0070C0"/>
        </w:rPr>
        <w:t>s</w:t>
      </w:r>
      <w:r w:rsidR="005B5DCB">
        <w:rPr>
          <w:i/>
          <w:iCs/>
          <w:color w:val="0070C0"/>
        </w:rPr>
        <w:t>’</w:t>
      </w:r>
      <w:r w:rsidR="005B5DCB" w:rsidRPr="00391827">
        <w:rPr>
          <w:i/>
          <w:iCs/>
          <w:color w:val="0070C0"/>
        </w:rPr>
        <w:t xml:space="preserve"> server</w:t>
      </w:r>
      <w:r w:rsidR="005B5DCB">
        <w:rPr>
          <w:i/>
          <w:iCs/>
          <w:color w:val="0070C0"/>
        </w:rPr>
        <w:t>s</w:t>
      </w:r>
      <w:r w:rsidR="005B5DCB" w:rsidRPr="00391827">
        <w:rPr>
          <w:i/>
          <w:iCs/>
          <w:color w:val="0070C0"/>
        </w:rPr>
        <w:t xml:space="preserve"> for processing </w:t>
      </w:r>
      <w:r w:rsidRPr="00DC6D56">
        <w:rPr>
          <w:i/>
          <w:iCs/>
          <w:color w:val="0070C0"/>
          <w:u w:val="single"/>
        </w:rPr>
        <w:t xml:space="preserve">for external </w:t>
      </w:r>
      <w:r w:rsidR="00FC6061" w:rsidRPr="00DC6D56">
        <w:rPr>
          <w:i/>
          <w:iCs/>
          <w:color w:val="0070C0"/>
          <w:u w:val="single"/>
        </w:rPr>
        <w:t xml:space="preserve">technical </w:t>
      </w:r>
      <w:r w:rsidRPr="00DC6D56">
        <w:rPr>
          <w:i/>
          <w:iCs/>
          <w:color w:val="0070C0"/>
          <w:u w:val="single"/>
        </w:rPr>
        <w:t>partners</w:t>
      </w:r>
      <w:r w:rsidRPr="00391827">
        <w:rPr>
          <w:i/>
          <w:iCs/>
          <w:color w:val="0070C0"/>
        </w:rPr>
        <w:t>.]</w:t>
      </w:r>
      <w:bookmarkEnd w:id="10"/>
    </w:p>
    <w:p w14:paraId="1FD8979E" w14:textId="37F85D88" w:rsidR="00320126" w:rsidRDefault="00320126" w:rsidP="00320126">
      <w:pPr>
        <w:pStyle w:val="Heading2"/>
        <w:numPr>
          <w:ilvl w:val="0"/>
          <w:numId w:val="0"/>
        </w:numPr>
        <w:ind w:left="576"/>
      </w:pPr>
      <w:r w:rsidRPr="004F12C7">
        <w:t xml:space="preserve">Given the potential need for technical expertise, </w:t>
      </w:r>
      <w:r w:rsidRPr="004F12C7">
        <w:rPr>
          <w:i/>
          <w:iCs/>
          <w:color w:val="BF4E14" w:themeColor="accent2" w:themeShade="BF"/>
        </w:rPr>
        <w:t>[NSO]</w:t>
      </w:r>
      <w:r w:rsidRPr="004F12C7">
        <w:t xml:space="preserve"> may establish future commitments or seek external collaborations with relevant institutions</w:t>
      </w:r>
      <w:r>
        <w:t xml:space="preserve"> and partners</w:t>
      </w:r>
      <w:r w:rsidRPr="004F12C7">
        <w:t>. Such arrangements shall be formalized through separate agreements, subject to applicable data governance and confidentiality provisions. Consequently, external individuals, including researchers and technical partners, may be granted access to</w:t>
      </w:r>
      <w:r>
        <w:t xml:space="preserve"> Tier I </w:t>
      </w:r>
      <w:r w:rsidR="00FC6061">
        <w:rPr>
          <w:lang w:val="en-IE"/>
        </w:rPr>
        <w:t xml:space="preserve">nano </w:t>
      </w:r>
      <w:r>
        <w:t>data on</w:t>
      </w:r>
      <w:r w:rsidRPr="004F12C7">
        <w:t xml:space="preserve"> </w:t>
      </w:r>
      <w:r w:rsidRPr="004F12C7">
        <w:rPr>
          <w:i/>
          <w:iCs/>
          <w:color w:val="BF4E14" w:themeColor="accent2" w:themeShade="BF"/>
        </w:rPr>
        <w:t>[</w:t>
      </w:r>
      <w:r w:rsidR="00FC6061" w:rsidRPr="00E80114">
        <w:rPr>
          <w:i/>
          <w:iCs/>
          <w:color w:val="BF4E14" w:themeColor="accent2" w:themeShade="BF"/>
        </w:rPr>
        <w:t>MNO 1 or MNOs</w:t>
      </w:r>
      <w:r w:rsidRPr="004F12C7">
        <w:rPr>
          <w:i/>
          <w:iCs/>
          <w:color w:val="BF4E14" w:themeColor="accent2" w:themeShade="BF"/>
        </w:rPr>
        <w:t>]</w:t>
      </w:r>
      <w:r w:rsidRPr="004F12C7">
        <w:t xml:space="preserve">’s server for processing </w:t>
      </w:r>
      <w:r w:rsidR="005B5EB4">
        <w:t>upon signing a dedicated “Partner” Data Sharing Agreement (PDSA).</w:t>
      </w:r>
    </w:p>
    <w:p w14:paraId="01E6985E" w14:textId="77777777" w:rsidR="000D61EE" w:rsidRPr="00DC6D56" w:rsidRDefault="000D61EE" w:rsidP="000D61EE">
      <w:pPr>
        <w:pStyle w:val="Heading3"/>
      </w:pPr>
      <w:r>
        <w:lastRenderedPageBreak/>
        <w:t>The PDSA must be approved and signed by all Parties to authorize data access.</w:t>
      </w:r>
    </w:p>
    <w:p w14:paraId="6FA63C3E" w14:textId="0F203FBA" w:rsidR="00045665" w:rsidRDefault="00DC6D56" w:rsidP="00320126">
      <w:pPr>
        <w:pStyle w:val="Heading3"/>
      </w:pPr>
      <w:r>
        <w:t>Each PDSA must specify the terms of data access, including the specific data covered, any applicable restrictions, the duration of access, the intended purpose of data use</w:t>
      </w:r>
      <w:r w:rsidR="000D61EE">
        <w:t>, and reporting obligations</w:t>
      </w:r>
      <w:r w:rsidR="00045665">
        <w:t>.</w:t>
      </w:r>
    </w:p>
    <w:p w14:paraId="44B54D1E" w14:textId="77777777" w:rsidR="000D61EE" w:rsidRDefault="00045665" w:rsidP="00320126">
      <w:pPr>
        <w:pStyle w:val="Heading3"/>
      </w:pPr>
      <w:r w:rsidRPr="006149F6">
        <w:t>The list of</w:t>
      </w:r>
      <w:r>
        <w:t xml:space="preserve"> individuals</w:t>
      </w:r>
      <w:r w:rsidRPr="006149F6">
        <w:t xml:space="preserve"> authorized to access data shared under a specific </w:t>
      </w:r>
      <w:r>
        <w:t>P</w:t>
      </w:r>
      <w:r w:rsidRPr="006149F6">
        <w:t xml:space="preserve">DSA shall be explicitly defined within that agreement. </w:t>
      </w:r>
      <w:r w:rsidRPr="004F12C7">
        <w:rPr>
          <w:i/>
          <w:iCs/>
          <w:color w:val="BF4E14" w:themeColor="accent2" w:themeShade="BF"/>
        </w:rPr>
        <w:t>[</w:t>
      </w:r>
      <w:r w:rsidRPr="00E80114">
        <w:rPr>
          <w:i/>
          <w:iCs/>
          <w:color w:val="BF4E14" w:themeColor="accent2" w:themeShade="BF"/>
        </w:rPr>
        <w:t>MNO 1 or MNOs</w:t>
      </w:r>
      <w:r w:rsidRPr="004F12C7">
        <w:rPr>
          <w:i/>
          <w:iCs/>
          <w:color w:val="BF4E14" w:themeColor="accent2" w:themeShade="BF"/>
        </w:rPr>
        <w:t>]</w:t>
      </w:r>
      <w:r w:rsidRPr="004F12C7">
        <w:t xml:space="preserve"> </w:t>
      </w:r>
      <w:r w:rsidRPr="006149F6">
        <w:t xml:space="preserve">shall strictly enforce the data access limitations outlined in the </w:t>
      </w:r>
      <w:r>
        <w:t>P</w:t>
      </w:r>
      <w:r w:rsidRPr="006149F6">
        <w:t>DSA and shall issue unique access credentials solely to those individuals authorized under its terms.</w:t>
      </w:r>
    </w:p>
    <w:p w14:paraId="44756D77" w14:textId="77777777" w:rsidR="000D61EE" w:rsidRDefault="00320126" w:rsidP="00320126">
      <w:pPr>
        <w:pStyle w:val="Heading3"/>
      </w:pPr>
      <w:r>
        <w:t xml:space="preserve">Upon signing a PDSA, </w:t>
      </w:r>
      <w:r w:rsidRPr="004F12C7">
        <w:rPr>
          <w:i/>
          <w:iCs/>
          <w:color w:val="BF4E14" w:themeColor="accent2" w:themeShade="BF"/>
        </w:rPr>
        <w:t>[</w:t>
      </w:r>
      <w:r w:rsidR="000D61EE" w:rsidRPr="00E80114">
        <w:rPr>
          <w:i/>
          <w:iCs/>
          <w:color w:val="BF4E14" w:themeColor="accent2" w:themeShade="BF"/>
        </w:rPr>
        <w:t>MNO 1 or MNOs</w:t>
      </w:r>
      <w:r w:rsidRPr="004F12C7">
        <w:rPr>
          <w:i/>
          <w:iCs/>
          <w:color w:val="BF4E14" w:themeColor="accent2" w:themeShade="BF"/>
        </w:rPr>
        <w:t>]</w:t>
      </w:r>
      <w:r>
        <w:rPr>
          <w:i/>
          <w:iCs/>
          <w:color w:val="BF4E14" w:themeColor="accent2" w:themeShade="BF"/>
        </w:rPr>
        <w:t xml:space="preserve"> </w:t>
      </w:r>
      <w:r>
        <w:t xml:space="preserve">shall provide the requesting entity with the necessary credentials to perform their duties. If a specific access duration is defined, </w:t>
      </w:r>
      <w:r w:rsidRPr="004F12C7">
        <w:rPr>
          <w:i/>
          <w:iCs/>
          <w:color w:val="BF4E14" w:themeColor="accent2" w:themeShade="BF"/>
        </w:rPr>
        <w:t>[</w:t>
      </w:r>
      <w:r w:rsidR="000D61EE" w:rsidRPr="00E80114">
        <w:rPr>
          <w:i/>
          <w:iCs/>
          <w:color w:val="BF4E14" w:themeColor="accent2" w:themeShade="BF"/>
        </w:rPr>
        <w:t>MNO 1 or MNOs</w:t>
      </w:r>
      <w:r w:rsidRPr="004F12C7">
        <w:rPr>
          <w:i/>
          <w:iCs/>
          <w:color w:val="BF4E14" w:themeColor="accent2" w:themeShade="BF"/>
        </w:rPr>
        <w:t>]</w:t>
      </w:r>
      <w:r>
        <w:rPr>
          <w:i/>
          <w:iCs/>
          <w:color w:val="BF4E14" w:themeColor="accent2" w:themeShade="BF"/>
        </w:rPr>
        <w:t xml:space="preserve"> </w:t>
      </w:r>
      <w:r>
        <w:t>shall ensure that the credentials issued under the PDSA are revoked upon its expiration.</w:t>
      </w:r>
    </w:p>
    <w:p w14:paraId="2D62C7E5" w14:textId="1C213F23" w:rsidR="00A36530" w:rsidRDefault="000D61EE" w:rsidP="00FB5D8A">
      <w:pPr>
        <w:pStyle w:val="Heading3"/>
      </w:pPr>
      <w:r>
        <w:t xml:space="preserve">The PDSA may include terms for compensation in consideration of the data sharing services provided by </w:t>
      </w:r>
      <w:r w:rsidRPr="004F12C7">
        <w:rPr>
          <w:i/>
          <w:iCs/>
          <w:color w:val="BF4E14" w:themeColor="accent2" w:themeShade="BF"/>
        </w:rPr>
        <w:t>[</w:t>
      </w:r>
      <w:r w:rsidRPr="00E80114">
        <w:rPr>
          <w:i/>
          <w:iCs/>
          <w:color w:val="BF4E14" w:themeColor="accent2" w:themeShade="BF"/>
        </w:rPr>
        <w:t>MNO 1 or MNOs</w:t>
      </w:r>
      <w:r w:rsidRPr="004F12C7">
        <w:rPr>
          <w:i/>
          <w:iCs/>
          <w:color w:val="BF4E14" w:themeColor="accent2" w:themeShade="BF"/>
        </w:rPr>
        <w:t>]</w:t>
      </w:r>
      <w:r>
        <w:t xml:space="preserve"> under the PDSA, </w:t>
      </w:r>
      <w:r w:rsidR="00955A88" w:rsidRPr="00955A88">
        <w:t>except in cases where an existing DSA with a government entity already governs access to the same data and includes compensation provisions. In such cases, no additional compensation shall be granted under the PDSA for access to data already covered by the existing DSA</w:t>
      </w:r>
      <w:r>
        <w:t>.</w:t>
      </w:r>
      <w:bookmarkStart w:id="11" w:name="_Ref197420341"/>
      <w:bookmarkEnd w:id="9"/>
      <w:r w:rsidR="00F8161E" w:rsidRPr="00F8161E">
        <w:rPr>
          <w:i/>
          <w:iCs/>
          <w:color w:val="0070C0"/>
        </w:rPr>
        <w:t xml:space="preserve"> </w:t>
      </w:r>
      <w:r w:rsidR="00F8161E" w:rsidRPr="00C9653E">
        <w:rPr>
          <w:i/>
          <w:iCs/>
          <w:color w:val="0070C0"/>
        </w:rPr>
        <w:t>[</w:t>
      </w:r>
      <w:r w:rsidR="00F8161E">
        <w:rPr>
          <w:i/>
          <w:iCs/>
          <w:color w:val="0070C0"/>
        </w:rPr>
        <w:t>This is viewed as a reasonable term for a potential compensation scheme but these aspects</w:t>
      </w:r>
      <w:r w:rsidR="00F8161E" w:rsidRPr="00C9653E">
        <w:rPr>
          <w:i/>
          <w:iCs/>
          <w:color w:val="0070C0"/>
        </w:rPr>
        <w:t xml:space="preserve"> should be carefully discussed with participating MNOs</w:t>
      </w:r>
      <w:r w:rsidR="00F8161E">
        <w:rPr>
          <w:i/>
          <w:iCs/>
          <w:color w:val="0070C0"/>
        </w:rPr>
        <w:t xml:space="preserve"> and the final negotiated terms may vary across contexts</w:t>
      </w:r>
      <w:r w:rsidR="00F8161E" w:rsidRPr="00C9653E">
        <w:rPr>
          <w:i/>
          <w:iCs/>
          <w:color w:val="0070C0"/>
        </w:rPr>
        <w:t>.]</w:t>
      </w:r>
    </w:p>
    <w:p w14:paraId="5854F79A" w14:textId="392F2D93" w:rsidR="007550BA" w:rsidRDefault="007550BA" w:rsidP="00A36530">
      <w:pPr>
        <w:pStyle w:val="Heading1"/>
      </w:pPr>
      <w:r>
        <w:t xml:space="preserve">Permitted Use of </w:t>
      </w:r>
      <w:r w:rsidR="00104115">
        <w:t xml:space="preserve">Tier I nano </w:t>
      </w:r>
      <w:r>
        <w:t>Data</w:t>
      </w:r>
      <w:bookmarkEnd w:id="11"/>
    </w:p>
    <w:p w14:paraId="4EABB3B9" w14:textId="41CE54AC" w:rsidR="007550BA" w:rsidRDefault="007550BA" w:rsidP="007550BA">
      <w:pPr>
        <w:pStyle w:val="Heading2"/>
      </w:pPr>
      <w:r>
        <w:t>Any p</w:t>
      </w:r>
      <w:r w:rsidRPr="00CA71FE">
        <w:t>rocessing of Tier I</w:t>
      </w:r>
      <w:r>
        <w:t xml:space="preserve"> nano</w:t>
      </w:r>
      <w:r w:rsidRPr="00CA71FE">
        <w:t xml:space="preserve"> data is permitted to the extent that it aligns with the objectives set forth in </w:t>
      </w:r>
      <w:r>
        <w:t xml:space="preserve">clause </w:t>
      </w:r>
      <w:r>
        <w:fldChar w:fldCharType="begin"/>
      </w:r>
      <w:r>
        <w:instrText xml:space="preserve"> REF _Ref197095334 \r \h </w:instrText>
      </w:r>
      <w:r>
        <w:fldChar w:fldCharType="separate"/>
      </w:r>
      <w:r w:rsidR="00F8161E">
        <w:t>1.1</w:t>
      </w:r>
      <w:r>
        <w:fldChar w:fldCharType="end"/>
      </w:r>
      <w:r w:rsidRPr="00CA71FE">
        <w:t>, provided it does not conflict with any specific data use restrictions outlined in the applicable Data Sharing Agreement (DSA) or Partner Data Sharing Agreement (PDSA). In the event of any conflict, the terms of the relevant DSA or PDSA shall prevail.</w:t>
      </w:r>
      <w:r>
        <w:t xml:space="preserve"> </w:t>
      </w:r>
    </w:p>
    <w:p w14:paraId="2C1AA5D0" w14:textId="0FE4B43C" w:rsidR="007550BA" w:rsidRDefault="007550BA" w:rsidP="007550BA">
      <w:pPr>
        <w:pStyle w:val="Heading2"/>
      </w:pPr>
      <w:r w:rsidRPr="0015321D">
        <w:rPr>
          <w:i/>
          <w:iCs/>
          <w:color w:val="BF4E14" w:themeColor="accent2" w:themeShade="BF"/>
        </w:rPr>
        <w:t>[NSO]</w:t>
      </w:r>
      <w:r>
        <w:t xml:space="preserve"> and technical partners with access to </w:t>
      </w:r>
      <w:r w:rsidRPr="0015321D">
        <w:rPr>
          <w:i/>
          <w:iCs/>
          <w:color w:val="BF4E14" w:themeColor="accent2" w:themeShade="BF"/>
        </w:rPr>
        <w:t>[</w:t>
      </w:r>
      <w:r w:rsidRPr="00E80114">
        <w:rPr>
          <w:i/>
          <w:iCs/>
          <w:color w:val="BF4E14" w:themeColor="accent2" w:themeShade="BF"/>
        </w:rPr>
        <w:t>MNO 1 or MNOs</w:t>
      </w:r>
      <w:r w:rsidRPr="0015321D">
        <w:rPr>
          <w:i/>
          <w:iCs/>
          <w:color w:val="BF4E14" w:themeColor="accent2" w:themeShade="BF"/>
        </w:rPr>
        <w:t>]</w:t>
      </w:r>
      <w:r>
        <w:t>’s server under a DSA or PDSA shall only process MNO data for purposes defined in this Agreement or as may be subsequently agreed by the Parties in the applicable DSA or PDSA, and shall not exercise control, nor shall it attempt to extract, copy, migrate or otherwise transfer such data to a third party.</w:t>
      </w:r>
    </w:p>
    <w:p w14:paraId="1557DBBB" w14:textId="00DC9DFF" w:rsidR="007550BA" w:rsidRDefault="007550BA" w:rsidP="007550BA">
      <w:pPr>
        <w:pStyle w:val="Heading2"/>
      </w:pPr>
      <w:bookmarkStart w:id="12" w:name="_Hlk197540033"/>
      <w:r>
        <w:t xml:space="preserve">Indicators resulting from the processing of </w:t>
      </w:r>
      <w:r w:rsidRPr="00CA71FE">
        <w:t>Tier I</w:t>
      </w:r>
      <w:r>
        <w:t xml:space="preserve"> nano</w:t>
      </w:r>
      <w:r w:rsidRPr="00CA71FE">
        <w:t xml:space="preserve"> data </w:t>
      </w:r>
      <w:r>
        <w:t>and intended for publication shall comply with privacy regulations and adopt appropriate measures to maintain user anonymity.</w:t>
      </w:r>
    </w:p>
    <w:bookmarkEnd w:id="12"/>
    <w:p w14:paraId="5B707B45" w14:textId="4CC1EB9B" w:rsidR="00C55552" w:rsidRDefault="00890E9E" w:rsidP="00C55552">
      <w:pPr>
        <w:pStyle w:val="Heading1"/>
      </w:pPr>
      <w:r>
        <w:t xml:space="preserve">Transfer of </w:t>
      </w:r>
      <w:r w:rsidR="00942F22">
        <w:t>indicators</w:t>
      </w:r>
      <w:r>
        <w:t xml:space="preserve"> from </w:t>
      </w:r>
      <w:r w:rsidRPr="00E80114">
        <w:rPr>
          <w:i/>
          <w:iCs/>
          <w:color w:val="BF4E14" w:themeColor="accent2" w:themeShade="BF"/>
        </w:rPr>
        <w:t>[MNO 1 or MNOs</w:t>
      </w:r>
      <w:r>
        <w:rPr>
          <w:i/>
          <w:iCs/>
          <w:color w:val="BF4E14" w:themeColor="accent2" w:themeShade="BF"/>
        </w:rPr>
        <w:t>]</w:t>
      </w:r>
      <w:r>
        <w:t xml:space="preserve"> to </w:t>
      </w:r>
      <w:r w:rsidRPr="00C50CFC">
        <w:rPr>
          <w:i/>
          <w:iCs/>
          <w:color w:val="BF4E14" w:themeColor="accent2" w:themeShade="BF"/>
        </w:rPr>
        <w:t>[</w:t>
      </w:r>
      <w:r>
        <w:rPr>
          <w:i/>
          <w:iCs/>
          <w:color w:val="BF4E14" w:themeColor="accent2" w:themeShade="BF"/>
        </w:rPr>
        <w:t>NSO</w:t>
      </w:r>
      <w:r w:rsidRPr="00C50CFC">
        <w:rPr>
          <w:i/>
          <w:iCs/>
          <w:color w:val="BF4E14" w:themeColor="accent2" w:themeShade="BF"/>
        </w:rPr>
        <w:t>]</w:t>
      </w:r>
    </w:p>
    <w:p w14:paraId="0CF3D659" w14:textId="36E1CA04" w:rsidR="00C55552" w:rsidRPr="00C55552" w:rsidRDefault="00C55552" w:rsidP="00C55552">
      <w:pPr>
        <w:pStyle w:val="Heading2"/>
        <w:numPr>
          <w:ilvl w:val="0"/>
          <w:numId w:val="0"/>
        </w:numPr>
        <w:ind w:left="576"/>
      </w:pPr>
      <w:r w:rsidRPr="00C9653E">
        <w:rPr>
          <w:i/>
          <w:iCs/>
          <w:color w:val="0070C0"/>
        </w:rPr>
        <w:t>[</w:t>
      </w:r>
      <w:r>
        <w:rPr>
          <w:i/>
          <w:iCs/>
          <w:color w:val="0070C0"/>
        </w:rPr>
        <w:t xml:space="preserve">This clause regulates the transfer of </w:t>
      </w:r>
      <w:r w:rsidR="00942F22">
        <w:rPr>
          <w:i/>
          <w:iCs/>
          <w:color w:val="0070C0"/>
        </w:rPr>
        <w:t>indicators derived from Tier I nano data</w:t>
      </w:r>
      <w:r>
        <w:rPr>
          <w:i/>
          <w:iCs/>
          <w:color w:val="0070C0"/>
        </w:rPr>
        <w:t xml:space="preserve"> from MNOs to NSO</w:t>
      </w:r>
      <w:r w:rsidR="00942F22">
        <w:rPr>
          <w:i/>
          <w:iCs/>
          <w:color w:val="0070C0"/>
        </w:rPr>
        <w:t>.</w:t>
      </w:r>
      <w:r>
        <w:rPr>
          <w:i/>
          <w:iCs/>
          <w:color w:val="0070C0"/>
        </w:rPr>
        <w:t>]</w:t>
      </w:r>
    </w:p>
    <w:p w14:paraId="03467D21" w14:textId="57B3EA6F" w:rsidR="00EB3DEC" w:rsidRPr="00EB3DEC" w:rsidRDefault="000F5615" w:rsidP="00FA0BAA">
      <w:pPr>
        <w:pStyle w:val="Heading2"/>
      </w:pPr>
      <w:r>
        <w:t xml:space="preserve">The transfer of </w:t>
      </w:r>
      <w:r w:rsidR="00FA0BAA">
        <w:t>indicators</w:t>
      </w:r>
      <w:r>
        <w:t xml:space="preserve"> from </w:t>
      </w:r>
      <w:r w:rsidR="00F8161E" w:rsidRPr="0015321D">
        <w:rPr>
          <w:i/>
          <w:iCs/>
          <w:color w:val="BF4E14" w:themeColor="accent2" w:themeShade="BF"/>
        </w:rPr>
        <w:t>[</w:t>
      </w:r>
      <w:r w:rsidR="00F8161E" w:rsidRPr="00E80114">
        <w:rPr>
          <w:i/>
          <w:iCs/>
          <w:color w:val="BF4E14" w:themeColor="accent2" w:themeShade="BF"/>
        </w:rPr>
        <w:t>MNO 1 or MNOs</w:t>
      </w:r>
      <w:r w:rsidR="00F8161E" w:rsidRPr="0015321D">
        <w:rPr>
          <w:i/>
          <w:iCs/>
          <w:color w:val="BF4E14" w:themeColor="accent2" w:themeShade="BF"/>
        </w:rPr>
        <w:t>]</w:t>
      </w:r>
      <w:r w:rsidR="00F8161E">
        <w:rPr>
          <w:i/>
          <w:iCs/>
          <w:color w:val="BF4E14" w:themeColor="accent2" w:themeShade="BF"/>
        </w:rPr>
        <w:t xml:space="preserve"> </w:t>
      </w:r>
      <w:r>
        <w:t xml:space="preserve">to </w:t>
      </w:r>
      <w:r w:rsidRPr="00C50CFC">
        <w:rPr>
          <w:i/>
          <w:iCs/>
          <w:color w:val="BF4E14" w:themeColor="accent2" w:themeShade="BF"/>
        </w:rPr>
        <w:t>[</w:t>
      </w:r>
      <w:r>
        <w:rPr>
          <w:i/>
          <w:iCs/>
          <w:color w:val="BF4E14" w:themeColor="accent2" w:themeShade="BF"/>
        </w:rPr>
        <w:t>NSO</w:t>
      </w:r>
      <w:r w:rsidRPr="00C50CFC">
        <w:rPr>
          <w:i/>
          <w:iCs/>
          <w:color w:val="BF4E14" w:themeColor="accent2" w:themeShade="BF"/>
        </w:rPr>
        <w:t>]</w:t>
      </w:r>
      <w:r>
        <w:t xml:space="preserve"> </w:t>
      </w:r>
      <w:r w:rsidR="00CB5DD2">
        <w:t xml:space="preserve">shall </w:t>
      </w:r>
      <w:r>
        <w:t xml:space="preserve">be </w:t>
      </w:r>
      <w:r w:rsidR="00144A22">
        <w:t>governed</w:t>
      </w:r>
      <w:r>
        <w:t xml:space="preserve"> by </w:t>
      </w:r>
      <w:r w:rsidR="00FA0BAA">
        <w:t>the applicable DSA or PDSA</w:t>
      </w:r>
      <w:r>
        <w:t xml:space="preserve">. </w:t>
      </w:r>
      <w:r w:rsidR="00104115">
        <w:t>Such</w:t>
      </w:r>
      <w:r w:rsidR="00144A22">
        <w:t xml:space="preserve"> agreement</w:t>
      </w:r>
      <w:r w:rsidR="002D5624">
        <w:t xml:space="preserve"> </w:t>
      </w:r>
      <w:r w:rsidR="00104115">
        <w:t>may</w:t>
      </w:r>
      <w:r w:rsidR="002D5624">
        <w:t xml:space="preserve"> provide </w:t>
      </w:r>
      <w:r w:rsidR="00144A22">
        <w:t xml:space="preserve">precise </w:t>
      </w:r>
      <w:r w:rsidR="002D5624">
        <w:t xml:space="preserve">specifications </w:t>
      </w:r>
      <w:r w:rsidR="00104115">
        <w:t xml:space="preserve">defining indicators </w:t>
      </w:r>
      <w:r w:rsidR="00122610">
        <w:t xml:space="preserve">authorized </w:t>
      </w:r>
      <w:r w:rsidR="00104115">
        <w:t xml:space="preserve">for transfer to </w:t>
      </w:r>
      <w:r w:rsidR="00104115" w:rsidRPr="00C50CFC">
        <w:rPr>
          <w:i/>
          <w:iCs/>
          <w:color w:val="BF4E14" w:themeColor="accent2" w:themeShade="BF"/>
        </w:rPr>
        <w:t>[</w:t>
      </w:r>
      <w:r w:rsidR="00104115">
        <w:rPr>
          <w:i/>
          <w:iCs/>
          <w:color w:val="BF4E14" w:themeColor="accent2" w:themeShade="BF"/>
        </w:rPr>
        <w:t>NSO</w:t>
      </w:r>
      <w:r w:rsidR="00104115" w:rsidRPr="00C50CFC">
        <w:rPr>
          <w:i/>
          <w:iCs/>
          <w:color w:val="BF4E14" w:themeColor="accent2" w:themeShade="BF"/>
        </w:rPr>
        <w:t>]</w:t>
      </w:r>
      <w:r w:rsidR="0001622B">
        <w:t>.</w:t>
      </w:r>
      <w:r w:rsidR="00C9653E">
        <w:t xml:space="preserve"> </w:t>
      </w:r>
    </w:p>
    <w:p w14:paraId="3E36770A" w14:textId="77453DC3" w:rsidR="00CB5DD2" w:rsidRDefault="00104115" w:rsidP="00CB5DD2">
      <w:pPr>
        <w:pStyle w:val="Heading2"/>
        <w:rPr>
          <w:i/>
          <w:iCs/>
          <w:color w:val="0070C0"/>
        </w:rPr>
      </w:pPr>
      <w:r>
        <w:lastRenderedPageBreak/>
        <w:t xml:space="preserve">Upon completion of the necessary processing, </w:t>
      </w:r>
      <w:r w:rsidRPr="00E80114">
        <w:rPr>
          <w:i/>
          <w:iCs/>
          <w:color w:val="BF4E14" w:themeColor="accent2" w:themeShade="BF"/>
        </w:rPr>
        <w:t>[MNO 1 or MNOs</w:t>
      </w:r>
      <w:r>
        <w:rPr>
          <w:i/>
          <w:iCs/>
          <w:color w:val="BF4E14" w:themeColor="accent2" w:themeShade="BF"/>
        </w:rPr>
        <w:t>]</w:t>
      </w:r>
      <w:r>
        <w:t xml:space="preserve"> </w:t>
      </w:r>
      <w:r w:rsidR="00CB5DD2">
        <w:t>shall transfer</w:t>
      </w:r>
      <w:r w:rsidR="00C9653E">
        <w:t xml:space="preserve"> indicators</w:t>
      </w:r>
      <w:r w:rsidR="00CB5DD2">
        <w:t xml:space="preserve"> </w:t>
      </w:r>
      <w:r w:rsidR="00FA0BAA">
        <w:t>authorized</w:t>
      </w:r>
      <w:r w:rsidR="00CB5DD2">
        <w:t xml:space="preserve"> </w:t>
      </w:r>
      <w:r w:rsidR="00C9653E">
        <w:t xml:space="preserve">under </w:t>
      </w:r>
      <w:r w:rsidR="00FA0BAA">
        <w:t>the applicable</w:t>
      </w:r>
      <w:r w:rsidR="00C9653E">
        <w:t xml:space="preserve"> DSA</w:t>
      </w:r>
      <w:r w:rsidR="00FA0BAA">
        <w:t xml:space="preserve"> or PDSA</w:t>
      </w:r>
      <w:r w:rsidR="00CB5DD2">
        <w:t xml:space="preserve"> to </w:t>
      </w:r>
      <w:r w:rsidR="004A7350" w:rsidRPr="00C50CFC">
        <w:rPr>
          <w:i/>
          <w:iCs/>
          <w:color w:val="BF4E14" w:themeColor="accent2" w:themeShade="BF"/>
        </w:rPr>
        <w:t>[</w:t>
      </w:r>
      <w:r w:rsidR="00C9653E">
        <w:rPr>
          <w:i/>
          <w:iCs/>
          <w:color w:val="BF4E14" w:themeColor="accent2" w:themeShade="BF"/>
        </w:rPr>
        <w:t>NSO</w:t>
      </w:r>
      <w:r w:rsidR="004A7350" w:rsidRPr="00C50CFC">
        <w:rPr>
          <w:i/>
          <w:iCs/>
          <w:color w:val="BF4E14" w:themeColor="accent2" w:themeShade="BF"/>
        </w:rPr>
        <w:t>]</w:t>
      </w:r>
      <w:r w:rsidR="004A7350">
        <w:rPr>
          <w:i/>
          <w:iCs/>
          <w:color w:val="BF4E14" w:themeColor="accent2" w:themeShade="BF"/>
        </w:rPr>
        <w:t xml:space="preserve"> </w:t>
      </w:r>
      <w:r w:rsidR="00CB5DD2">
        <w:t xml:space="preserve">via a secure file transfer protocol set up and maintained by </w:t>
      </w:r>
      <w:r w:rsidR="004A7350" w:rsidRPr="00C50CFC">
        <w:rPr>
          <w:i/>
          <w:iCs/>
          <w:color w:val="BF4E14" w:themeColor="accent2" w:themeShade="BF"/>
        </w:rPr>
        <w:t>[</w:t>
      </w:r>
      <w:r w:rsidR="00C9653E">
        <w:rPr>
          <w:i/>
          <w:iCs/>
          <w:color w:val="BF4E14" w:themeColor="accent2" w:themeShade="BF"/>
        </w:rPr>
        <w:t>NSO</w:t>
      </w:r>
      <w:r w:rsidR="004A7350" w:rsidRPr="00C50CFC">
        <w:rPr>
          <w:i/>
          <w:iCs/>
          <w:color w:val="BF4E14" w:themeColor="accent2" w:themeShade="BF"/>
        </w:rPr>
        <w:t>]</w:t>
      </w:r>
      <w:r w:rsidR="00E53883">
        <w:t xml:space="preserve">, and </w:t>
      </w:r>
      <w:r w:rsidR="00F8161E">
        <w:t>within reasonable timeframes that may be precisely specified in the applicable data sharing agreement</w:t>
      </w:r>
      <w:r w:rsidR="00CB5DD2">
        <w:t>.</w:t>
      </w:r>
      <w:r w:rsidR="00C9653E" w:rsidRPr="00C9653E">
        <w:rPr>
          <w:i/>
          <w:iCs/>
          <w:color w:val="0070C0"/>
        </w:rPr>
        <w:t xml:space="preserve"> </w:t>
      </w:r>
      <w:r w:rsidR="00C9653E" w:rsidRPr="004605F2">
        <w:rPr>
          <w:i/>
          <w:iCs/>
          <w:color w:val="0070C0"/>
        </w:rPr>
        <w:t>[</w:t>
      </w:r>
      <w:r w:rsidR="00E53883">
        <w:rPr>
          <w:i/>
          <w:iCs/>
          <w:color w:val="0070C0"/>
        </w:rPr>
        <w:t>The government may decide to assign the responsibility to set up and maintain the server receiving indicators to another government entity such as the regulator. In such cases, this clause should be revised accordingly</w:t>
      </w:r>
      <w:r w:rsidR="00C9653E" w:rsidRPr="004605F2">
        <w:rPr>
          <w:i/>
          <w:iCs/>
          <w:color w:val="0070C0"/>
        </w:rPr>
        <w:t>.]</w:t>
      </w:r>
    </w:p>
    <w:p w14:paraId="735D1CA3" w14:textId="77777777" w:rsidR="007E31BE" w:rsidRDefault="007E31BE" w:rsidP="007E31BE">
      <w:pPr>
        <w:pStyle w:val="Heading2"/>
      </w:pPr>
      <w:r w:rsidRPr="00E80114">
        <w:rPr>
          <w:i/>
          <w:iCs/>
          <w:color w:val="BF4E14" w:themeColor="accent2" w:themeShade="BF"/>
        </w:rPr>
        <w:t>[MNO 1 or MNOs</w:t>
      </w:r>
      <w:r>
        <w:rPr>
          <w:i/>
          <w:iCs/>
          <w:color w:val="BF4E14" w:themeColor="accent2" w:themeShade="BF"/>
        </w:rPr>
        <w:t xml:space="preserve">] </w:t>
      </w:r>
      <w:r w:rsidRPr="00803E86">
        <w:t xml:space="preserve">shall have the right to verify that the indicators produced are consistent with the agreed data specifications under the applicable DSA prior to transferring the Tier II indicators to </w:t>
      </w:r>
      <w:r w:rsidRPr="00C50CFC">
        <w:rPr>
          <w:i/>
          <w:iCs/>
          <w:color w:val="BF4E14" w:themeColor="accent2" w:themeShade="BF"/>
        </w:rPr>
        <w:t>[</w:t>
      </w:r>
      <w:r>
        <w:rPr>
          <w:i/>
          <w:iCs/>
          <w:color w:val="BF4E14" w:themeColor="accent2" w:themeShade="BF"/>
        </w:rPr>
        <w:t>NSO</w:t>
      </w:r>
      <w:r w:rsidRPr="00C50CFC">
        <w:rPr>
          <w:i/>
          <w:iCs/>
          <w:color w:val="BF4E14" w:themeColor="accent2" w:themeShade="BF"/>
        </w:rPr>
        <w:t>]</w:t>
      </w:r>
      <w:r w:rsidRPr="00803E86">
        <w:t>.</w:t>
      </w:r>
    </w:p>
    <w:p w14:paraId="4A81972B" w14:textId="226141E9" w:rsidR="00CB5DD2" w:rsidRDefault="00EC3CA4" w:rsidP="00CB5DD2">
      <w:pPr>
        <w:pStyle w:val="Heading2"/>
      </w:pPr>
      <w:r w:rsidRPr="00EC3CA4">
        <w:t>Recognizing that MNO data may be used to support emergency response efforts</w:t>
      </w:r>
      <w:r>
        <w:t xml:space="preserve">, </w:t>
      </w:r>
      <w:r w:rsidRPr="00E80114">
        <w:rPr>
          <w:i/>
          <w:iCs/>
          <w:color w:val="BF4E14" w:themeColor="accent2" w:themeShade="BF"/>
        </w:rPr>
        <w:t>[MNO 1 or MNOs</w:t>
      </w:r>
      <w:r>
        <w:rPr>
          <w:i/>
          <w:iCs/>
          <w:color w:val="BF4E14" w:themeColor="accent2" w:themeShade="BF"/>
        </w:rPr>
        <w:t>]</w:t>
      </w:r>
      <w:r>
        <w:t xml:space="preserve"> </w:t>
      </w:r>
      <w:r w:rsidRPr="00C9653E">
        <w:t>commit to making their best efforts</w:t>
      </w:r>
      <w:r>
        <w:t xml:space="preserve"> </w:t>
      </w:r>
      <w:r w:rsidRPr="00EC3CA4">
        <w:t xml:space="preserve">to </w:t>
      </w:r>
      <w:r w:rsidR="00104115">
        <w:t>facilitate the transfer of relevant indicators</w:t>
      </w:r>
      <w:r>
        <w:t xml:space="preserve"> within </w:t>
      </w:r>
      <w:r w:rsidRPr="00EC3CA4">
        <w:t>timeframes that align with the operational demands of the situation</w:t>
      </w:r>
      <w:r>
        <w:t>.</w:t>
      </w:r>
      <w:r w:rsidRPr="00C9653E">
        <w:t xml:space="preserve"> </w:t>
      </w:r>
    </w:p>
    <w:p w14:paraId="36AE0858" w14:textId="52A78FF0" w:rsidR="002F4994" w:rsidRDefault="002F4994" w:rsidP="002F4994">
      <w:pPr>
        <w:pStyle w:val="Heading1"/>
      </w:pPr>
      <w:r>
        <w:t xml:space="preserve">Access to indicators on </w:t>
      </w:r>
      <w:r w:rsidRPr="00C50CFC">
        <w:rPr>
          <w:i/>
          <w:iCs/>
          <w:color w:val="BF4E14" w:themeColor="accent2" w:themeShade="BF"/>
        </w:rPr>
        <w:t>[</w:t>
      </w:r>
      <w:r>
        <w:rPr>
          <w:i/>
          <w:iCs/>
          <w:color w:val="BF4E14" w:themeColor="accent2" w:themeShade="BF"/>
        </w:rPr>
        <w:t>NSO</w:t>
      </w:r>
      <w:r w:rsidRPr="00C50CFC">
        <w:rPr>
          <w:i/>
          <w:iCs/>
          <w:color w:val="BF4E14" w:themeColor="accent2" w:themeShade="BF"/>
        </w:rPr>
        <w:t>]</w:t>
      </w:r>
      <w:r w:rsidRPr="002F4994">
        <w:t>’ server</w:t>
      </w:r>
      <w:r w:rsidR="00E53883" w:rsidRPr="00C9653E">
        <w:rPr>
          <w:i/>
          <w:iCs/>
          <w:color w:val="0070C0"/>
        </w:rPr>
        <w:t xml:space="preserve"> </w:t>
      </w:r>
      <w:r w:rsidR="00E53883" w:rsidRPr="00E53883">
        <w:rPr>
          <w:b w:val="0"/>
          <w:bCs/>
          <w:i/>
          <w:iCs/>
          <w:color w:val="0070C0"/>
        </w:rPr>
        <w:t>[</w:t>
      </w:r>
      <w:r w:rsidR="00E53883">
        <w:rPr>
          <w:b w:val="0"/>
          <w:bCs/>
          <w:i/>
          <w:iCs/>
          <w:color w:val="0070C0"/>
        </w:rPr>
        <w:t>If the responsibility to host the server receiving indicators is assigned to another government entity (e.g. the regulator), replace [NSO] with the relevant government entity where appropriate</w:t>
      </w:r>
      <w:r w:rsidR="00E53883" w:rsidRPr="00E53883">
        <w:rPr>
          <w:b w:val="0"/>
          <w:bCs/>
          <w:i/>
          <w:iCs/>
          <w:color w:val="0070C0"/>
        </w:rPr>
        <w:t>.]</w:t>
      </w:r>
    </w:p>
    <w:p w14:paraId="4118D05E" w14:textId="1F5F1F34" w:rsidR="00243AEB" w:rsidRDefault="0037712A" w:rsidP="00243AEB">
      <w:pPr>
        <w:pStyle w:val="Heading2"/>
      </w:pPr>
      <w:r w:rsidRPr="004F12C7">
        <w:rPr>
          <w:i/>
          <w:iCs/>
          <w:color w:val="BF4E14" w:themeColor="accent2" w:themeShade="BF"/>
        </w:rPr>
        <w:t>[NSO]</w:t>
      </w:r>
      <w:r w:rsidRPr="004F12C7">
        <w:t xml:space="preserve"> </w:t>
      </w:r>
      <w:r w:rsidRPr="006149F6">
        <w:t xml:space="preserve">shall be granted a broad mandate to manage and regulate access to </w:t>
      </w:r>
      <w:r>
        <w:t>indicators</w:t>
      </w:r>
      <w:r w:rsidRPr="006149F6">
        <w:t xml:space="preserve"> </w:t>
      </w:r>
      <w:r>
        <w:t>transferred on</w:t>
      </w:r>
      <w:r w:rsidRPr="006149F6">
        <w:t xml:space="preserve"> its server. This includes determining, authorizing, and overseeing which government personnel may access the data for approved processing and analytical purposes. </w:t>
      </w:r>
      <w:r w:rsidRPr="004F12C7">
        <w:rPr>
          <w:i/>
          <w:iCs/>
          <w:color w:val="BF4E14" w:themeColor="accent2" w:themeShade="BF"/>
        </w:rPr>
        <w:t>[NSO]</w:t>
      </w:r>
      <w:r w:rsidRPr="004F12C7">
        <w:t xml:space="preserve"> </w:t>
      </w:r>
      <w:r w:rsidRPr="006149F6">
        <w:t>shall establish internal protocols and safeguards to ensure that access is limited to authorized individuals</w:t>
      </w:r>
      <w:r>
        <w:t>.</w:t>
      </w:r>
      <w:r w:rsidRPr="006149F6">
        <w:rPr>
          <w:rFonts w:eastAsiaTheme="minorHAnsi" w:cstheme="minorBidi"/>
          <w:szCs w:val="22"/>
        </w:rPr>
        <w:t xml:space="preserve"> </w:t>
      </w:r>
      <w:r w:rsidRPr="006149F6">
        <w:t>All access decisions and credential assignments shall be documented and subject to audit or review as needed.</w:t>
      </w:r>
    </w:p>
    <w:p w14:paraId="08050393" w14:textId="50679052" w:rsidR="0037712A" w:rsidRDefault="00243AEB" w:rsidP="00243AEB">
      <w:pPr>
        <w:pStyle w:val="Heading2"/>
      </w:pPr>
      <w:r w:rsidRPr="00243AEB">
        <w:t xml:space="preserve">Where indicators are shared under the terms of a </w:t>
      </w:r>
      <w:r>
        <w:t xml:space="preserve">DSA, </w:t>
      </w:r>
      <w:r w:rsidRPr="004F12C7">
        <w:rPr>
          <w:i/>
          <w:iCs/>
          <w:color w:val="BF4E14" w:themeColor="accent2" w:themeShade="BF"/>
        </w:rPr>
        <w:t>[NSO]</w:t>
      </w:r>
      <w:r w:rsidRPr="004F12C7">
        <w:t xml:space="preserve"> </w:t>
      </w:r>
      <w:r w:rsidRPr="00243AEB">
        <w:t>shall comply with any access restrictions stipulated therein</w:t>
      </w:r>
      <w:r>
        <w:t>.</w:t>
      </w:r>
    </w:p>
    <w:p w14:paraId="13A186C2" w14:textId="16E9884C" w:rsidR="00243AEB" w:rsidRPr="00243AEB" w:rsidRDefault="00243AEB" w:rsidP="00243AEB">
      <w:pPr>
        <w:pStyle w:val="Heading2"/>
      </w:pPr>
      <w:r>
        <w:t xml:space="preserve">Access to indicators on </w:t>
      </w:r>
      <w:r w:rsidRPr="004F12C7">
        <w:rPr>
          <w:i/>
          <w:iCs/>
          <w:color w:val="BF4E14" w:themeColor="accent2" w:themeShade="BF"/>
        </w:rPr>
        <w:t>[NSO]</w:t>
      </w:r>
      <w:r>
        <w:t>‘</w:t>
      </w:r>
      <w:r w:rsidRPr="006149F6">
        <w:t>s</w:t>
      </w:r>
      <w:r>
        <w:t xml:space="preserve"> server for external technical partners shall be regulated by the applicable PDSA.</w:t>
      </w:r>
    </w:p>
    <w:p w14:paraId="5D9C1634" w14:textId="50B479DD" w:rsidR="0037712A" w:rsidRDefault="0037712A" w:rsidP="0003110F">
      <w:pPr>
        <w:pStyle w:val="Heading1"/>
      </w:pPr>
      <w:r>
        <w:t>Disclosure of results</w:t>
      </w:r>
    </w:p>
    <w:p w14:paraId="2A234CB9" w14:textId="77777777" w:rsidR="0037712A" w:rsidRDefault="0037712A" w:rsidP="0037712A">
      <w:pPr>
        <w:pStyle w:val="Heading2"/>
      </w:pPr>
      <w:r>
        <w:t>The Parties agree that any research results or statistical findings produced under this Agreement can be published, provided that all Parties have been properly credited, and any proprietary or sensitive information has been appropriately anonymized.</w:t>
      </w:r>
    </w:p>
    <w:p w14:paraId="274323E2" w14:textId="77777777" w:rsidR="0037712A" w:rsidRPr="0005654F" w:rsidRDefault="0037712A" w:rsidP="0037712A">
      <w:pPr>
        <w:pStyle w:val="Heading2"/>
      </w:pPr>
      <w:r>
        <w:t xml:space="preserve">Before any publication is released to the public, The Parties will be notified in writing and granted </w:t>
      </w:r>
      <w:r w:rsidRPr="00BC522C">
        <w:rPr>
          <w:i/>
          <w:iCs/>
          <w:color w:val="BF4E14" w:themeColor="accent2" w:themeShade="BF"/>
        </w:rPr>
        <w:t>[</w:t>
      </w:r>
      <w:r>
        <w:rPr>
          <w:i/>
          <w:iCs/>
          <w:color w:val="BF4E14" w:themeColor="accent2" w:themeShade="BF"/>
        </w:rPr>
        <w:t>X</w:t>
      </w:r>
      <w:r w:rsidRPr="00BC522C">
        <w:rPr>
          <w:i/>
          <w:iCs/>
          <w:color w:val="BF4E14" w:themeColor="accent2" w:themeShade="BF"/>
        </w:rPr>
        <w:t>]</w:t>
      </w:r>
      <w:r>
        <w:t xml:space="preserve"> days to review the content. The absence of a response after this period shall be deemed as non-objection and the publication shall be considered approved by all Parties. Any disputes concerning publication will be resolved by mutual agreement or arbitration.</w:t>
      </w:r>
    </w:p>
    <w:p w14:paraId="2EED5E30" w14:textId="2E8B977A" w:rsidR="0037712A" w:rsidRPr="0037712A" w:rsidRDefault="0037712A" w:rsidP="0037712A">
      <w:pPr>
        <w:pStyle w:val="Heading2"/>
      </w:pPr>
      <w:r>
        <w:lastRenderedPageBreak/>
        <w:t xml:space="preserve">Indicators and results that The Parties deem too sensitive for public disclosure but are intended for sharing only with a specific government entity for internal use may be approved for restricted disclosure. These results may be shared exclusively with the designated entity, provided that said entity signs a mutual Non-Disclosure Agreement </w:t>
      </w:r>
      <w:r>
        <w:rPr>
          <w:lang w:val="en-IE"/>
        </w:rPr>
        <w:t>(NDA)</w:t>
      </w:r>
      <w:r>
        <w:t xml:space="preserve"> with The Parties, committing to maintain confidentiality and refrain from further dissemination.</w:t>
      </w:r>
    </w:p>
    <w:p w14:paraId="0426827F" w14:textId="30483814" w:rsidR="00FB5D8A" w:rsidRDefault="00FB5D8A" w:rsidP="0003110F">
      <w:pPr>
        <w:pStyle w:val="Heading1"/>
      </w:pPr>
      <w:bookmarkStart w:id="13" w:name="_Ref200106115"/>
      <w:r>
        <w:t>Special Provisions for Survey Microdata Integration</w:t>
      </w:r>
      <w:bookmarkEnd w:id="13"/>
    </w:p>
    <w:p w14:paraId="4A70CA08" w14:textId="55D2AAB9" w:rsidR="00FB5D8A" w:rsidRPr="00391827" w:rsidRDefault="00FB5D8A" w:rsidP="00FB5D8A">
      <w:pPr>
        <w:pStyle w:val="Heading2"/>
        <w:numPr>
          <w:ilvl w:val="0"/>
          <w:numId w:val="0"/>
        </w:numPr>
        <w:ind w:left="576"/>
        <w:rPr>
          <w:i/>
          <w:iCs/>
        </w:rPr>
      </w:pPr>
      <w:r w:rsidRPr="00391827">
        <w:rPr>
          <w:i/>
          <w:iCs/>
          <w:color w:val="0070C0"/>
        </w:rPr>
        <w:t>[This clause</w:t>
      </w:r>
      <w:r>
        <w:rPr>
          <w:i/>
          <w:iCs/>
          <w:color w:val="0070C0"/>
        </w:rPr>
        <w:t xml:space="preserve"> regulates </w:t>
      </w:r>
      <w:r w:rsidRPr="00391827">
        <w:rPr>
          <w:i/>
          <w:iCs/>
          <w:color w:val="0070C0"/>
        </w:rPr>
        <w:t>access</w:t>
      </w:r>
      <w:r w:rsidR="00131DBD">
        <w:rPr>
          <w:i/>
          <w:iCs/>
          <w:color w:val="0070C0"/>
        </w:rPr>
        <w:t xml:space="preserve"> to</w:t>
      </w:r>
      <w:r>
        <w:rPr>
          <w:i/>
          <w:iCs/>
          <w:color w:val="0070C0"/>
        </w:rPr>
        <w:t xml:space="preserve"> and processing</w:t>
      </w:r>
      <w:r w:rsidRPr="00391827">
        <w:rPr>
          <w:i/>
          <w:iCs/>
          <w:color w:val="0070C0"/>
        </w:rPr>
        <w:t xml:space="preserve"> </w:t>
      </w:r>
      <w:r w:rsidR="00131DBD">
        <w:rPr>
          <w:i/>
          <w:iCs/>
          <w:color w:val="0070C0"/>
        </w:rPr>
        <w:t>of</w:t>
      </w:r>
      <w:r>
        <w:rPr>
          <w:i/>
          <w:iCs/>
          <w:color w:val="0070C0"/>
        </w:rPr>
        <w:t xml:space="preserve"> </w:t>
      </w:r>
      <w:r w:rsidRPr="00391827">
        <w:rPr>
          <w:i/>
          <w:iCs/>
          <w:color w:val="0070C0"/>
        </w:rPr>
        <w:t xml:space="preserve">Tier I </w:t>
      </w:r>
      <w:r>
        <w:rPr>
          <w:i/>
          <w:iCs/>
          <w:color w:val="0070C0"/>
        </w:rPr>
        <w:t xml:space="preserve">nano </w:t>
      </w:r>
      <w:r w:rsidRPr="00391827">
        <w:rPr>
          <w:i/>
          <w:iCs/>
          <w:color w:val="0070C0"/>
        </w:rPr>
        <w:t xml:space="preserve">data stored on </w:t>
      </w:r>
      <w:r>
        <w:rPr>
          <w:i/>
          <w:iCs/>
          <w:color w:val="0070C0"/>
        </w:rPr>
        <w:t>MNO</w:t>
      </w:r>
      <w:r w:rsidRPr="00391827">
        <w:rPr>
          <w:i/>
          <w:iCs/>
          <w:color w:val="0070C0"/>
        </w:rPr>
        <w:t>s</w:t>
      </w:r>
      <w:r>
        <w:rPr>
          <w:i/>
          <w:iCs/>
          <w:color w:val="0070C0"/>
        </w:rPr>
        <w:t>’</w:t>
      </w:r>
      <w:r w:rsidRPr="00391827">
        <w:rPr>
          <w:i/>
          <w:iCs/>
          <w:color w:val="0070C0"/>
        </w:rPr>
        <w:t xml:space="preserve"> server</w:t>
      </w:r>
      <w:r>
        <w:rPr>
          <w:i/>
          <w:iCs/>
          <w:color w:val="0070C0"/>
        </w:rPr>
        <w:t>s</w:t>
      </w:r>
      <w:r w:rsidRPr="00391827">
        <w:rPr>
          <w:i/>
          <w:iCs/>
          <w:color w:val="0070C0"/>
        </w:rPr>
        <w:t xml:space="preserve"> </w:t>
      </w:r>
      <w:r w:rsidR="00131DBD">
        <w:rPr>
          <w:i/>
          <w:iCs/>
          <w:color w:val="0070C0"/>
        </w:rPr>
        <w:t>as well as</w:t>
      </w:r>
      <w:r>
        <w:rPr>
          <w:i/>
          <w:iCs/>
          <w:color w:val="0070C0"/>
        </w:rPr>
        <w:t xml:space="preserve"> </w:t>
      </w:r>
      <w:r w:rsidR="00131DBD">
        <w:rPr>
          <w:i/>
          <w:iCs/>
          <w:color w:val="0070C0"/>
        </w:rPr>
        <w:t xml:space="preserve">the </w:t>
      </w:r>
      <w:r>
        <w:rPr>
          <w:i/>
          <w:iCs/>
          <w:color w:val="0070C0"/>
        </w:rPr>
        <w:t>transfer of indicators to a government server</w:t>
      </w:r>
      <w:r w:rsidR="00131DBD">
        <w:rPr>
          <w:i/>
          <w:iCs/>
          <w:color w:val="0070C0"/>
        </w:rPr>
        <w:t xml:space="preserve"> in the context of</w:t>
      </w:r>
      <w:r>
        <w:rPr>
          <w:i/>
          <w:iCs/>
          <w:color w:val="0070C0"/>
        </w:rPr>
        <w:t xml:space="preserve"> sensitive</w:t>
      </w:r>
      <w:r>
        <w:rPr>
          <w:i/>
          <w:iCs/>
          <w:color w:val="0070C0"/>
          <w:lang w:val="en-IE"/>
        </w:rPr>
        <w:t xml:space="preserve"> </w:t>
      </w:r>
      <w:r>
        <w:rPr>
          <w:i/>
          <w:iCs/>
          <w:color w:val="0070C0"/>
        </w:rPr>
        <w:t>applications that involve the pairing of Tier I micro data with individual- or household-level survey information</w:t>
      </w:r>
      <w:r w:rsidRPr="00391827">
        <w:rPr>
          <w:i/>
          <w:iCs/>
          <w:color w:val="0070C0"/>
        </w:rPr>
        <w:t>.]</w:t>
      </w:r>
    </w:p>
    <w:p w14:paraId="351C030B" w14:textId="0DC2E460" w:rsidR="00FB5D8A" w:rsidRDefault="00FB5D8A" w:rsidP="00FB5D8A">
      <w:pPr>
        <w:pStyle w:val="Heading2"/>
      </w:pPr>
      <w:bookmarkStart w:id="14" w:name="_Ref197539874"/>
      <w:r>
        <w:t xml:space="preserve">Considering the sensitivity of such applications, any initiative involving the pairing of Tier I micro data with individual- or household-level survey information – e.g. for the application of bias correction methods, or individual poverty measurement exercises – shall require specific data arrangements under a dedicated “micro” Data Sharing Agreement (micro DSA). </w:t>
      </w:r>
      <w:bookmarkEnd w:id="14"/>
      <w:r>
        <w:t xml:space="preserve">The micro DSA may involve </w:t>
      </w:r>
      <w:r w:rsidRPr="004F12C7">
        <w:rPr>
          <w:i/>
          <w:iCs/>
          <w:color w:val="BF4E14" w:themeColor="accent2" w:themeShade="BF"/>
        </w:rPr>
        <w:t>[</w:t>
      </w:r>
      <w:r w:rsidRPr="00E80114">
        <w:rPr>
          <w:i/>
          <w:iCs/>
          <w:color w:val="BF4E14" w:themeColor="accent2" w:themeShade="BF"/>
        </w:rPr>
        <w:t>MNO 1 or MNOs</w:t>
      </w:r>
      <w:r w:rsidRPr="004F12C7">
        <w:rPr>
          <w:i/>
          <w:iCs/>
          <w:color w:val="BF4E14" w:themeColor="accent2" w:themeShade="BF"/>
        </w:rPr>
        <w:t>]</w:t>
      </w:r>
      <w:r>
        <w:t xml:space="preserve">, </w:t>
      </w:r>
      <w:r w:rsidRPr="00BC522C">
        <w:rPr>
          <w:i/>
          <w:iCs/>
          <w:color w:val="BF4E14" w:themeColor="accent2" w:themeShade="BF"/>
        </w:rPr>
        <w:t>[NSO]</w:t>
      </w:r>
      <w:r w:rsidRPr="00820E0B">
        <w:t xml:space="preserve">, </w:t>
      </w:r>
      <w:r>
        <w:t>but also other government entities and external technical partners.</w:t>
      </w:r>
    </w:p>
    <w:p w14:paraId="7CD0FC27" w14:textId="77777777" w:rsidR="0074317E" w:rsidRDefault="0074317E" w:rsidP="0074317E">
      <w:pPr>
        <w:pStyle w:val="Heading2"/>
      </w:pPr>
      <w:r w:rsidRPr="0074317E">
        <w:rPr>
          <w:u w:val="single"/>
        </w:rPr>
        <w:t>Access to Tier I nano data</w:t>
      </w:r>
      <w:r>
        <w:t xml:space="preserve">. The micro DSA shall regulate access to Tier I nano data on </w:t>
      </w:r>
      <w:r w:rsidRPr="00E80114">
        <w:rPr>
          <w:i/>
          <w:iCs/>
          <w:color w:val="BF4E14" w:themeColor="accent2" w:themeShade="BF"/>
        </w:rPr>
        <w:t>[MNO 1 or MNOs</w:t>
      </w:r>
      <w:r>
        <w:rPr>
          <w:i/>
          <w:iCs/>
          <w:color w:val="BF4E14" w:themeColor="accent2" w:themeShade="BF"/>
        </w:rPr>
        <w:t>]</w:t>
      </w:r>
      <w:r w:rsidRPr="0074317E">
        <w:t xml:space="preserve"> dedicated server for processing.</w:t>
      </w:r>
    </w:p>
    <w:p w14:paraId="453F31DE" w14:textId="78C78556" w:rsidR="0074317E" w:rsidRDefault="0074317E" w:rsidP="0074317E">
      <w:pPr>
        <w:pStyle w:val="Heading3"/>
      </w:pPr>
      <w:r>
        <w:t xml:space="preserve">Each </w:t>
      </w:r>
      <w:r w:rsidR="00482530">
        <w:t xml:space="preserve">micro </w:t>
      </w:r>
      <w:r>
        <w:t>DSA must specify the terms of data access, including the specific data covered, any applicable restrictions, the duration of access, and the intended purpose of data use</w:t>
      </w:r>
      <w:r w:rsidR="00E94DDB">
        <w:t xml:space="preserve"> (cf. clause </w:t>
      </w:r>
      <w:r w:rsidR="00E94DDB">
        <w:fldChar w:fldCharType="begin"/>
      </w:r>
      <w:r w:rsidR="00E94DDB">
        <w:instrText xml:space="preserve"> REF _Ref200045155 \r \h </w:instrText>
      </w:r>
      <w:r w:rsidR="00E94DDB">
        <w:fldChar w:fldCharType="separate"/>
      </w:r>
      <w:r w:rsidR="00895EAB">
        <w:t>13.3</w:t>
      </w:r>
      <w:r w:rsidR="00E94DDB">
        <w:fldChar w:fldCharType="end"/>
      </w:r>
      <w:r w:rsidR="00E94DDB">
        <w:t xml:space="preserve"> on authorized Tier I micro indicators)</w:t>
      </w:r>
      <w:r>
        <w:t>.</w:t>
      </w:r>
    </w:p>
    <w:p w14:paraId="0EA77648" w14:textId="77777777" w:rsidR="00131DBD" w:rsidRDefault="0074317E" w:rsidP="0074317E">
      <w:pPr>
        <w:pStyle w:val="Heading3"/>
      </w:pPr>
      <w:r w:rsidRPr="006149F6">
        <w:t xml:space="preserve">The list of </w:t>
      </w:r>
      <w:r>
        <w:t>individuals</w:t>
      </w:r>
      <w:r w:rsidRPr="006149F6">
        <w:t xml:space="preserve"> authorized to access data shared under a specific </w:t>
      </w:r>
      <w:r>
        <w:t xml:space="preserve">micro </w:t>
      </w:r>
      <w:r w:rsidRPr="006149F6">
        <w:t xml:space="preserve">DSA shall be explicitly defined within that agreement. </w:t>
      </w:r>
      <w:r w:rsidRPr="004F12C7">
        <w:rPr>
          <w:i/>
          <w:iCs/>
          <w:color w:val="BF4E14" w:themeColor="accent2" w:themeShade="BF"/>
        </w:rPr>
        <w:t>[</w:t>
      </w:r>
      <w:r w:rsidRPr="00E80114">
        <w:rPr>
          <w:i/>
          <w:iCs/>
          <w:color w:val="BF4E14" w:themeColor="accent2" w:themeShade="BF"/>
        </w:rPr>
        <w:t>MNO 1 or MNOs</w:t>
      </w:r>
      <w:r w:rsidRPr="004F12C7">
        <w:rPr>
          <w:i/>
          <w:iCs/>
          <w:color w:val="BF4E14" w:themeColor="accent2" w:themeShade="BF"/>
        </w:rPr>
        <w:t>]</w:t>
      </w:r>
      <w:r w:rsidRPr="004F12C7">
        <w:t xml:space="preserve"> </w:t>
      </w:r>
      <w:r w:rsidRPr="006149F6">
        <w:t>shall strictly enforce the data access limitations outlined in the</w:t>
      </w:r>
      <w:r>
        <w:t xml:space="preserve"> micro</w:t>
      </w:r>
      <w:r w:rsidRPr="006149F6">
        <w:t xml:space="preserve"> DSA and shall issue unique access credentials solely to those individuals authorized under its terms.</w:t>
      </w:r>
    </w:p>
    <w:p w14:paraId="7B92E379" w14:textId="39699835" w:rsidR="0074317E" w:rsidRDefault="00131DBD" w:rsidP="00131DBD">
      <w:pPr>
        <w:pStyle w:val="Heading3"/>
      </w:pPr>
      <w:r w:rsidRPr="00BC522C">
        <w:rPr>
          <w:i/>
          <w:iCs/>
          <w:color w:val="BF4E14" w:themeColor="accent2" w:themeShade="BF"/>
        </w:rPr>
        <w:t>[NSO]</w:t>
      </w:r>
      <w:r>
        <w:rPr>
          <w:i/>
          <w:iCs/>
          <w:color w:val="BF4E14" w:themeColor="accent2" w:themeShade="BF"/>
        </w:rPr>
        <w:t xml:space="preserve"> </w:t>
      </w:r>
      <w:r>
        <w:t xml:space="preserve">and </w:t>
      </w:r>
      <w:r w:rsidRPr="00BC522C">
        <w:rPr>
          <w:i/>
          <w:iCs/>
          <w:color w:val="BF4E14" w:themeColor="accent2" w:themeShade="BF"/>
        </w:rPr>
        <w:t>[</w:t>
      </w:r>
      <w:r w:rsidRPr="00E80114">
        <w:rPr>
          <w:i/>
          <w:iCs/>
          <w:color w:val="BF4E14" w:themeColor="accent2" w:themeShade="BF"/>
        </w:rPr>
        <w:t>MNO 1 or MNOs</w:t>
      </w:r>
      <w:r w:rsidRPr="00BC522C">
        <w:rPr>
          <w:i/>
          <w:iCs/>
          <w:color w:val="BF4E14" w:themeColor="accent2" w:themeShade="BF"/>
        </w:rPr>
        <w:t>]</w:t>
      </w:r>
      <w:r>
        <w:t xml:space="preserve"> shall jointly elaborate a unique pseudonymization procedure that ensures user anonymity in both MNO data and survey microdata and enables the effective pairing of both data sources.</w:t>
      </w:r>
    </w:p>
    <w:p w14:paraId="6AC54CF0" w14:textId="77777777" w:rsidR="006757BB" w:rsidRDefault="00A97DF4" w:rsidP="00FB5D8A">
      <w:pPr>
        <w:pStyle w:val="Heading2"/>
      </w:pPr>
      <w:bookmarkStart w:id="15" w:name="_Ref200045155"/>
      <w:r>
        <w:rPr>
          <w:u w:val="single"/>
        </w:rPr>
        <w:t>Authorized Tier I micro indicators</w:t>
      </w:r>
      <w:r>
        <w:t>. The micro DSA shall clearly specify Tier I micro indicators authorized under the proposed agreement.</w:t>
      </w:r>
      <w:bookmarkEnd w:id="15"/>
    </w:p>
    <w:p w14:paraId="5B92D990" w14:textId="24B731B4" w:rsidR="00824C06" w:rsidRPr="00895EAB" w:rsidRDefault="006757BB" w:rsidP="00FB5D8A">
      <w:pPr>
        <w:pStyle w:val="Heading2"/>
      </w:pPr>
      <w:r>
        <w:rPr>
          <w:u w:val="single"/>
        </w:rPr>
        <w:t>Transfer of Tier I micro indicators</w:t>
      </w:r>
      <w:r w:rsidR="0096204E">
        <w:rPr>
          <w:u w:val="single"/>
        </w:rPr>
        <w:t xml:space="preserve"> to </w:t>
      </w:r>
      <w:r w:rsidR="0096204E" w:rsidRPr="00BC522C">
        <w:rPr>
          <w:i/>
          <w:iCs/>
          <w:color w:val="BF4E14" w:themeColor="accent2" w:themeShade="BF"/>
        </w:rPr>
        <w:t>[NSO]</w:t>
      </w:r>
      <w:r w:rsidR="0096204E">
        <w:rPr>
          <w:u w:val="single"/>
        </w:rPr>
        <w:t>‘s server</w:t>
      </w:r>
      <w:r>
        <w:t xml:space="preserve">. </w:t>
      </w:r>
      <w:r w:rsidR="007D05CB" w:rsidRPr="00BC522C">
        <w:rPr>
          <w:i/>
          <w:iCs/>
          <w:color w:val="BF4E14" w:themeColor="accent2" w:themeShade="BF"/>
        </w:rPr>
        <w:t>[</w:t>
      </w:r>
      <w:r w:rsidR="007D05CB" w:rsidRPr="00E80114">
        <w:rPr>
          <w:i/>
          <w:iCs/>
          <w:color w:val="BF4E14" w:themeColor="accent2" w:themeShade="BF"/>
        </w:rPr>
        <w:t>MNO 1 or MNOs</w:t>
      </w:r>
      <w:r w:rsidR="007D05CB" w:rsidRPr="00BC522C">
        <w:rPr>
          <w:i/>
          <w:iCs/>
          <w:color w:val="BF4E14" w:themeColor="accent2" w:themeShade="BF"/>
        </w:rPr>
        <w:t>]</w:t>
      </w:r>
      <w:r w:rsidR="007D05CB" w:rsidRPr="007D05CB">
        <w:t xml:space="preserve"> </w:t>
      </w:r>
      <w:r w:rsidR="007D05CB">
        <w:t xml:space="preserve">shall facilitate the transfer of Tier I micro indicators authorized under </w:t>
      </w:r>
      <w:r w:rsidR="00824C06">
        <w:t>the</w:t>
      </w:r>
      <w:r w:rsidR="007D05CB">
        <w:t xml:space="preserve"> micro DSA </w:t>
      </w:r>
      <w:r w:rsidR="0096204E">
        <w:t xml:space="preserve">to </w:t>
      </w:r>
      <w:r w:rsidR="0096204E" w:rsidRPr="00BC522C">
        <w:rPr>
          <w:i/>
          <w:iCs/>
          <w:color w:val="BF4E14" w:themeColor="accent2" w:themeShade="BF"/>
        </w:rPr>
        <w:t>[NSO]</w:t>
      </w:r>
      <w:r w:rsidR="0096204E" w:rsidRPr="0096204E">
        <w:t>’s</w:t>
      </w:r>
      <w:r w:rsidR="0096204E">
        <w:t xml:space="preserve"> server </w:t>
      </w:r>
      <w:r w:rsidR="007D05CB">
        <w:t>via the designated secure file transfer protocol</w:t>
      </w:r>
      <w:r w:rsidR="00824C06">
        <w:t xml:space="preserve"> set up and maintained by </w:t>
      </w:r>
      <w:r w:rsidR="00824C06" w:rsidRPr="00BC522C">
        <w:rPr>
          <w:i/>
          <w:iCs/>
          <w:color w:val="BF4E14" w:themeColor="accent2" w:themeShade="BF"/>
        </w:rPr>
        <w:t>[NSO</w:t>
      </w:r>
      <w:r w:rsidR="00824C06" w:rsidRPr="00895EAB">
        <w:rPr>
          <w:i/>
          <w:iCs/>
          <w:color w:val="BF4E14" w:themeColor="accent2" w:themeShade="BF"/>
        </w:rPr>
        <w:t>]</w:t>
      </w:r>
      <w:r w:rsidR="007D05CB" w:rsidRPr="00895EAB">
        <w:t>.</w:t>
      </w:r>
      <w:r w:rsidR="00895EAB" w:rsidRPr="00895EAB">
        <w:rPr>
          <w:i/>
          <w:iCs/>
          <w:color w:val="0070C0"/>
        </w:rPr>
        <w:t xml:space="preserve"> [If the responsibility to host the server receiving indicators is assigned to another government entity (e.g. the regulator), replace [NSO] with the relevant government entity where appropriate.]</w:t>
      </w:r>
    </w:p>
    <w:p w14:paraId="0A4B8058" w14:textId="40FA2FF2" w:rsidR="00A97DF4" w:rsidRDefault="00824C06" w:rsidP="0096204E">
      <w:pPr>
        <w:pStyle w:val="Heading2"/>
      </w:pPr>
      <w:r>
        <w:rPr>
          <w:u w:val="single"/>
        </w:rPr>
        <w:lastRenderedPageBreak/>
        <w:t xml:space="preserve">Access to </w:t>
      </w:r>
      <w:r w:rsidR="0096204E">
        <w:rPr>
          <w:u w:val="single"/>
        </w:rPr>
        <w:t xml:space="preserve">Tier I micro data and survey microdata on </w:t>
      </w:r>
      <w:r w:rsidR="0096204E" w:rsidRPr="00BC522C">
        <w:rPr>
          <w:i/>
          <w:iCs/>
          <w:color w:val="BF4E14" w:themeColor="accent2" w:themeShade="BF"/>
        </w:rPr>
        <w:t>[NSO]</w:t>
      </w:r>
      <w:r w:rsidR="0096204E">
        <w:rPr>
          <w:u w:val="single"/>
        </w:rPr>
        <w:t>‘s server</w:t>
      </w:r>
      <w:r>
        <w:t>.</w:t>
      </w:r>
      <w:r w:rsidR="0096204E">
        <w:t xml:space="preserve"> The micro DSA shall regulate access to </w:t>
      </w:r>
      <w:r w:rsidR="0096204E" w:rsidRPr="00BC522C">
        <w:rPr>
          <w:i/>
          <w:iCs/>
          <w:color w:val="BF4E14" w:themeColor="accent2" w:themeShade="BF"/>
        </w:rPr>
        <w:t>[NSO]</w:t>
      </w:r>
      <w:r w:rsidR="0096204E" w:rsidRPr="0096204E">
        <w:t>’s</w:t>
      </w:r>
      <w:r w:rsidR="0096204E">
        <w:t xml:space="preserve"> server hosting both Tier I micro indicators and survey microdata.</w:t>
      </w:r>
      <w:r w:rsidR="00895EAB">
        <w:t xml:space="preserve"> </w:t>
      </w:r>
      <w:r w:rsidR="00895EAB" w:rsidRPr="00895EAB">
        <w:rPr>
          <w:i/>
          <w:iCs/>
          <w:color w:val="0070C0"/>
        </w:rPr>
        <w:t>[If the responsibility to host the server receiving indicators is assigned to another government entity (e.g. the regulator), replace [NSO] with the relevant government entity where appropriate.]</w:t>
      </w:r>
    </w:p>
    <w:p w14:paraId="02D4476E" w14:textId="77777777" w:rsidR="00E94DDB" w:rsidRDefault="00FB5D8A" w:rsidP="0096204E">
      <w:pPr>
        <w:pStyle w:val="Heading3"/>
      </w:pPr>
      <w:r>
        <w:t>The micro DSA shall explicitly state the pairing of MNO data with survey microdata as part of the intended data use and shall specify the survey microdata to be used for the intended application.</w:t>
      </w:r>
    </w:p>
    <w:p w14:paraId="6403611B" w14:textId="4B6162C3" w:rsidR="00FB5D8A" w:rsidRPr="00E94DDB" w:rsidRDefault="00E94DDB" w:rsidP="0096204E">
      <w:pPr>
        <w:pStyle w:val="Heading3"/>
      </w:pPr>
      <w:r>
        <w:t xml:space="preserve">The micro DSA shall specify the terms of access to Tier I micro indicators and relevant survey microdata on </w:t>
      </w:r>
      <w:r w:rsidRPr="00BC522C">
        <w:rPr>
          <w:i/>
          <w:iCs/>
          <w:color w:val="BF4E14" w:themeColor="accent2" w:themeShade="BF"/>
        </w:rPr>
        <w:t>[NSO</w:t>
      </w:r>
      <w:r w:rsidRPr="00E94DDB">
        <w:rPr>
          <w:i/>
          <w:iCs/>
          <w:color w:val="BF4E14" w:themeColor="accent2" w:themeShade="BF"/>
        </w:rPr>
        <w:t>]</w:t>
      </w:r>
      <w:r w:rsidRPr="00E94DDB">
        <w:t>‘s server</w:t>
      </w:r>
      <w:r>
        <w:t>, including any applicable restrictions, the duration of access and the intended purpose of data use</w:t>
      </w:r>
      <w:r w:rsidRPr="00E94DDB">
        <w:t>.</w:t>
      </w:r>
    </w:p>
    <w:p w14:paraId="259AFCBF" w14:textId="77777777" w:rsidR="00B43F9B" w:rsidRDefault="00FB5D8A" w:rsidP="00FB5D8A">
      <w:pPr>
        <w:pStyle w:val="Heading3"/>
      </w:pPr>
      <w:r w:rsidRPr="00BC522C">
        <w:rPr>
          <w:i/>
          <w:iCs/>
          <w:color w:val="BF4E14" w:themeColor="accent2" w:themeShade="BF"/>
        </w:rPr>
        <w:t>[</w:t>
      </w:r>
      <w:r w:rsidR="0096204E" w:rsidRPr="00BC522C">
        <w:rPr>
          <w:i/>
          <w:iCs/>
          <w:color w:val="BF4E14" w:themeColor="accent2" w:themeShade="BF"/>
        </w:rPr>
        <w:t>NSO</w:t>
      </w:r>
      <w:r w:rsidRPr="00BC522C">
        <w:rPr>
          <w:i/>
          <w:iCs/>
          <w:color w:val="BF4E14" w:themeColor="accent2" w:themeShade="BF"/>
        </w:rPr>
        <w:t>]</w:t>
      </w:r>
      <w:r>
        <w:rPr>
          <w:i/>
          <w:iCs/>
          <w:color w:val="BF4E14" w:themeColor="accent2" w:themeShade="BF"/>
        </w:rPr>
        <w:t xml:space="preserve"> </w:t>
      </w:r>
      <w:r>
        <w:t xml:space="preserve">shall </w:t>
      </w:r>
      <w:r w:rsidR="00DA75A2">
        <w:rPr>
          <w:lang w:val="en-IE"/>
        </w:rPr>
        <w:t>implement adequate data protection measures</w:t>
      </w:r>
      <w:r>
        <w:t xml:space="preserve"> </w:t>
      </w:r>
      <w:r w:rsidR="007858A5">
        <w:t>in relation to</w:t>
      </w:r>
      <w:r>
        <w:t xml:space="preserve"> </w:t>
      </w:r>
      <w:r w:rsidR="007858A5">
        <w:t xml:space="preserve">the specific </w:t>
      </w:r>
      <w:r w:rsidR="00DA75A2">
        <w:t xml:space="preserve">Tier I micro indicators </w:t>
      </w:r>
      <w:r w:rsidR="007858A5">
        <w:t xml:space="preserve">and </w:t>
      </w:r>
      <w:r>
        <w:t xml:space="preserve">survey microdata stored on its server </w:t>
      </w:r>
      <w:r w:rsidR="007858A5">
        <w:t xml:space="preserve">under the </w:t>
      </w:r>
      <w:r w:rsidR="00B43F9B">
        <w:t>applicable</w:t>
      </w:r>
      <w:r w:rsidR="007858A5">
        <w:t xml:space="preserve"> micro DSA. </w:t>
      </w:r>
      <w:r w:rsidR="007858A5" w:rsidRPr="00BC522C">
        <w:rPr>
          <w:i/>
          <w:iCs/>
          <w:color w:val="BF4E14" w:themeColor="accent2" w:themeShade="BF"/>
        </w:rPr>
        <w:t>[NSO]</w:t>
      </w:r>
      <w:r w:rsidR="007858A5" w:rsidRPr="007858A5">
        <w:t xml:space="preserve"> shall</w:t>
      </w:r>
      <w:r w:rsidRPr="007858A5">
        <w:t xml:space="preserve"> </w:t>
      </w:r>
      <w:r>
        <w:t>enforc</w:t>
      </w:r>
      <w:r w:rsidR="007858A5">
        <w:t>e</w:t>
      </w:r>
      <w:r>
        <w:t xml:space="preserve"> restrictions on </w:t>
      </w:r>
      <w:r w:rsidR="007858A5">
        <w:t xml:space="preserve">data </w:t>
      </w:r>
      <w:r>
        <w:t xml:space="preserve">access, transfer, download and modification. Specifically, access to designated </w:t>
      </w:r>
      <w:r w:rsidR="007858A5">
        <w:t xml:space="preserve">Tier I micro indicators and survey microdata </w:t>
      </w:r>
      <w:r>
        <w:t xml:space="preserve">on </w:t>
      </w:r>
      <w:r w:rsidRPr="00BC522C">
        <w:rPr>
          <w:i/>
          <w:iCs/>
          <w:color w:val="BF4E14" w:themeColor="accent2" w:themeShade="BF"/>
        </w:rPr>
        <w:t>[</w:t>
      </w:r>
      <w:r w:rsidR="007858A5" w:rsidRPr="00BC522C">
        <w:rPr>
          <w:i/>
          <w:iCs/>
          <w:color w:val="BF4E14" w:themeColor="accent2" w:themeShade="BF"/>
        </w:rPr>
        <w:t>NSO</w:t>
      </w:r>
      <w:r w:rsidRPr="00BC522C">
        <w:rPr>
          <w:i/>
          <w:iCs/>
          <w:color w:val="BF4E14" w:themeColor="accent2" w:themeShade="BF"/>
        </w:rPr>
        <w:t>]</w:t>
      </w:r>
      <w:r>
        <w:t xml:space="preserve">’s server shall be strictly limited to individuals listed in </w:t>
      </w:r>
      <w:r w:rsidR="007858A5">
        <w:t>the applicable</w:t>
      </w:r>
      <w:r>
        <w:t xml:space="preserve"> micro DSA.</w:t>
      </w:r>
    </w:p>
    <w:p w14:paraId="3CBD8B7A" w14:textId="1FC1239D" w:rsidR="00FB5D8A" w:rsidRDefault="00B43F9B" w:rsidP="00B43F9B">
      <w:pPr>
        <w:pStyle w:val="Heading2"/>
      </w:pPr>
      <w:r w:rsidRPr="00676A7C">
        <w:rPr>
          <w:u w:val="single"/>
        </w:rPr>
        <w:t xml:space="preserve">Permitted use of </w:t>
      </w:r>
      <w:r w:rsidR="00FF1EFD" w:rsidRPr="00676A7C">
        <w:rPr>
          <w:u w:val="single"/>
        </w:rPr>
        <w:t>data</w:t>
      </w:r>
      <w:r>
        <w:t>.</w:t>
      </w:r>
      <w:r w:rsidR="00FF1EFD">
        <w:t xml:space="preserve"> </w:t>
      </w:r>
      <w:r w:rsidR="00676A7C" w:rsidRPr="00676A7C">
        <w:t>The specific purpose for which Tier I indicators are to be combined with survey microdata shall be clearly defined in the relevant</w:t>
      </w:r>
      <w:r w:rsidR="00676A7C">
        <w:t xml:space="preserve"> micro DSA. </w:t>
      </w:r>
    </w:p>
    <w:p w14:paraId="2FB82E27" w14:textId="2F5A2B9C" w:rsidR="00676A7C" w:rsidRDefault="00676A7C" w:rsidP="00676A7C">
      <w:pPr>
        <w:pStyle w:val="Heading3"/>
      </w:pPr>
      <w:r w:rsidRPr="00676A7C">
        <w:t>The Parties shall implement all necessary measures to strictly uphold and enforce the data use limitations outlined in the applicable micro DSA</w:t>
      </w:r>
      <w:r>
        <w:t>.</w:t>
      </w:r>
    </w:p>
    <w:p w14:paraId="1D19AF5E" w14:textId="67848835" w:rsidR="00676A7C" w:rsidRPr="00676A7C" w:rsidRDefault="00676A7C" w:rsidP="00676A7C">
      <w:pPr>
        <w:pStyle w:val="Heading3"/>
      </w:pPr>
      <w:r w:rsidRPr="00676A7C">
        <w:t>The Parties shall ensure that the proposed data use described in the micro DSA fully complies with applicable national data protection laws, including adherence to consent requirements</w:t>
      </w:r>
      <w:r>
        <w:t>.</w:t>
      </w:r>
    </w:p>
    <w:p w14:paraId="78551BB6" w14:textId="48C3371F" w:rsidR="0003110F" w:rsidRDefault="0003110F" w:rsidP="0003110F">
      <w:pPr>
        <w:pStyle w:val="Heading1"/>
      </w:pPr>
      <w:r>
        <w:t xml:space="preserve">Joint </w:t>
      </w:r>
      <w:r w:rsidR="00211B7B">
        <w:t>Research and Knowledge Exchange</w:t>
      </w:r>
    </w:p>
    <w:p w14:paraId="11AFA37C" w14:textId="3A5E37AA" w:rsidR="0003110F" w:rsidRPr="0003110F" w:rsidRDefault="0003110F" w:rsidP="0003110F">
      <w:pPr>
        <w:pStyle w:val="Heading2"/>
        <w:numPr>
          <w:ilvl w:val="0"/>
          <w:numId w:val="0"/>
        </w:numPr>
        <w:ind w:left="576"/>
      </w:pPr>
      <w:r w:rsidRPr="00FC66B9">
        <w:rPr>
          <w:i/>
          <w:iCs/>
          <w:color w:val="0070C0"/>
        </w:rPr>
        <w:t>[</w:t>
      </w:r>
      <w:r w:rsidRPr="0027079D">
        <w:rPr>
          <w:i/>
          <w:iCs/>
          <w:color w:val="0070C0"/>
        </w:rPr>
        <w:t xml:space="preserve">This clause lays the groundwork for a collaborative arrangement between [MNO 1 or MNOs], [NSO], and potential external technical partners, focused on research and knowledge exchange related to MNO data and shall be further formalized through a separate, dedicated agreement. It is optional but strongly encouraged to support capacity building for both government </w:t>
      </w:r>
      <w:r w:rsidR="0027079D" w:rsidRPr="0027079D">
        <w:rPr>
          <w:i/>
          <w:iCs/>
          <w:color w:val="0070C0"/>
        </w:rPr>
        <w:t xml:space="preserve">entities </w:t>
      </w:r>
      <w:r w:rsidRPr="0027079D">
        <w:rPr>
          <w:i/>
          <w:iCs/>
          <w:color w:val="0070C0"/>
        </w:rPr>
        <w:t xml:space="preserve">and MNOs, while also promoting transparency and </w:t>
      </w:r>
      <w:r w:rsidR="00895EAB">
        <w:rPr>
          <w:i/>
          <w:iCs/>
          <w:color w:val="0070C0"/>
        </w:rPr>
        <w:t xml:space="preserve">contributing to the overall </w:t>
      </w:r>
      <w:r w:rsidR="00895EAB">
        <w:rPr>
          <w:i/>
          <w:iCs/>
          <w:color w:val="0070C0"/>
          <w:lang w:val="en-IE"/>
        </w:rPr>
        <w:t>quality assurance framework</w:t>
      </w:r>
      <w:r w:rsidRPr="00FC66B9">
        <w:rPr>
          <w:i/>
          <w:iCs/>
          <w:color w:val="0070C0"/>
        </w:rPr>
        <w:t>.]</w:t>
      </w:r>
    </w:p>
    <w:p w14:paraId="0A77BEFC" w14:textId="3AC60A68" w:rsidR="00211B7B" w:rsidRPr="00211B7B" w:rsidRDefault="00211B7B" w:rsidP="00211B7B">
      <w:pPr>
        <w:pStyle w:val="Heading2"/>
      </w:pPr>
      <w:r w:rsidRPr="00E80114">
        <w:rPr>
          <w:i/>
          <w:iCs/>
          <w:color w:val="BF4E14" w:themeColor="accent2" w:themeShade="BF"/>
        </w:rPr>
        <w:t>[MNO 1 or MNOs</w:t>
      </w:r>
      <w:r>
        <w:rPr>
          <w:i/>
          <w:iCs/>
          <w:color w:val="BF4E14" w:themeColor="accent2" w:themeShade="BF"/>
        </w:rPr>
        <w:t>]</w:t>
      </w:r>
      <w:r>
        <w:t xml:space="preserve"> </w:t>
      </w:r>
      <w:r w:rsidRPr="00211B7B">
        <w:t xml:space="preserve">and </w:t>
      </w:r>
      <w:r w:rsidRPr="0015321D">
        <w:rPr>
          <w:i/>
          <w:iCs/>
          <w:color w:val="BF4E14" w:themeColor="accent2" w:themeShade="BF"/>
        </w:rPr>
        <w:t>[NSO]</w:t>
      </w:r>
      <w:r>
        <w:rPr>
          <w:i/>
          <w:iCs/>
          <w:color w:val="BF4E14" w:themeColor="accent2" w:themeShade="BF"/>
        </w:rPr>
        <w:t xml:space="preserve"> </w:t>
      </w:r>
      <w:r>
        <w:t xml:space="preserve">agree to collaborate on </w:t>
      </w:r>
      <w:r w:rsidR="006E634B">
        <w:t xml:space="preserve">enhancing and developing methodologies for </w:t>
      </w:r>
      <w:r w:rsidR="009776E9">
        <w:t>deriving valuable and reliable indicators from</w:t>
      </w:r>
      <w:r w:rsidR="006E634B">
        <w:t xml:space="preserve"> MNO data</w:t>
      </w:r>
      <w:r>
        <w:t xml:space="preserve">. This collaboration shall </w:t>
      </w:r>
      <w:r w:rsidR="006E634B">
        <w:t xml:space="preserve">focus on joint efforts </w:t>
      </w:r>
      <w:r w:rsidR="009776E9">
        <w:t xml:space="preserve">to </w:t>
      </w:r>
      <w:r w:rsidR="006E634B" w:rsidRPr="006E634B">
        <w:t>design robust processing methods and facilitate mutual knowledge exchange</w:t>
      </w:r>
      <w:r w:rsidR="006E634B">
        <w:t xml:space="preserve">. </w:t>
      </w:r>
      <w:r w:rsidR="006E634B" w:rsidRPr="006E634B">
        <w:t>The Parties also acknowledge the potential involvement of an external technical partner to support these efforts. The detailed terms and conditions of this collaboration shall be formalized in a separate Memorandum of Understanding</w:t>
      </w:r>
      <w:r w:rsidR="006E634B">
        <w:t>.</w:t>
      </w:r>
    </w:p>
    <w:p w14:paraId="013A40F0" w14:textId="264D8813" w:rsidR="003151A0" w:rsidRDefault="003151A0" w:rsidP="003151A0">
      <w:pPr>
        <w:pStyle w:val="Heading1"/>
      </w:pPr>
      <w:r>
        <w:t>Data Safeguards</w:t>
      </w:r>
    </w:p>
    <w:p w14:paraId="688D7DA1" w14:textId="1071694B" w:rsidR="00B27A84" w:rsidRPr="00573031" w:rsidRDefault="00B27A84" w:rsidP="00B27A84">
      <w:pPr>
        <w:pStyle w:val="Heading2"/>
      </w:pPr>
      <w:bookmarkStart w:id="16" w:name="_Hlk197540294"/>
      <w:r w:rsidRPr="0015321D">
        <w:lastRenderedPageBreak/>
        <w:t xml:space="preserve">The Parties shall jointly define </w:t>
      </w:r>
      <w:r w:rsidR="00410E46">
        <w:t>the Statistical Disclosure Control (SDC) methods to be applied</w:t>
      </w:r>
      <w:r w:rsidRPr="0015321D">
        <w:t xml:space="preserve"> </w:t>
      </w:r>
      <w:r>
        <w:rPr>
          <w:lang w:val="en-IE"/>
        </w:rPr>
        <w:t xml:space="preserve">(e.g. k-anonymity property) </w:t>
      </w:r>
      <w:r w:rsidRPr="0015321D">
        <w:t>to ensure that any personally identifiable information is fully anonymized in</w:t>
      </w:r>
      <w:r>
        <w:t xml:space="preserve"> </w:t>
      </w:r>
      <w:r w:rsidR="00895EAB">
        <w:t>indicators</w:t>
      </w:r>
      <w:r w:rsidRPr="0015321D">
        <w:t xml:space="preserve"> intended for public disclosure, </w:t>
      </w:r>
      <w:r w:rsidR="00410E46">
        <w:t xml:space="preserve">reducing the risk of disclosing information on statistical units and </w:t>
      </w:r>
      <w:r w:rsidRPr="0015321D">
        <w:t>preventing any possibility of re-identification.</w:t>
      </w:r>
    </w:p>
    <w:bookmarkEnd w:id="16"/>
    <w:p w14:paraId="3138CB39" w14:textId="5B46B01E" w:rsidR="00410E46" w:rsidRDefault="00B27A84" w:rsidP="00B27A84">
      <w:pPr>
        <w:pStyle w:val="Heading2"/>
      </w:pPr>
      <w:r w:rsidRPr="00E80114">
        <w:rPr>
          <w:i/>
          <w:iCs/>
          <w:color w:val="BF4E14" w:themeColor="accent2" w:themeShade="BF"/>
        </w:rPr>
        <w:t>[MNO 1 or MNOs</w:t>
      </w:r>
      <w:r>
        <w:rPr>
          <w:i/>
          <w:iCs/>
          <w:color w:val="BF4E14" w:themeColor="accent2" w:themeShade="BF"/>
        </w:rPr>
        <w:t>]</w:t>
      </w:r>
      <w:r>
        <w:t xml:space="preserve"> </w:t>
      </w:r>
      <w:r w:rsidRPr="00AE2FF6">
        <w:t xml:space="preserve">shall implement a pseudonymization procedure of the highest standard to ensure the privacy and security of </w:t>
      </w:r>
      <w:r w:rsidR="00B13B9E">
        <w:t xml:space="preserve">Tier I </w:t>
      </w:r>
      <w:r w:rsidR="00895EAB">
        <w:t xml:space="preserve">nano </w:t>
      </w:r>
      <w:r w:rsidR="00B13B9E">
        <w:t>data</w:t>
      </w:r>
      <w:r w:rsidR="00410E46">
        <w:t xml:space="preserve"> </w:t>
      </w:r>
      <w:r w:rsidR="002A44D3">
        <w:t>for which access is granted</w:t>
      </w:r>
      <w:r w:rsidRPr="00AE2FF6">
        <w:t>. This procedure shall comply with internationally recognized best practices and regulatory requirements for data protection</w:t>
      </w:r>
      <w:r>
        <w:t xml:space="preserve">. </w:t>
      </w:r>
      <w:r w:rsidR="00B13B9E" w:rsidRPr="00E80114">
        <w:rPr>
          <w:i/>
          <w:iCs/>
          <w:color w:val="BF4E14" w:themeColor="accent2" w:themeShade="BF"/>
        </w:rPr>
        <w:t>[MNO 1 or MNOs</w:t>
      </w:r>
      <w:r w:rsidR="00B13B9E">
        <w:rPr>
          <w:i/>
          <w:iCs/>
          <w:color w:val="BF4E14" w:themeColor="accent2" w:themeShade="BF"/>
        </w:rPr>
        <w:t xml:space="preserve">] </w:t>
      </w:r>
      <w:r w:rsidRPr="00AE2FF6">
        <w:t>shall also regularly review and update the pseudonymization process in response to technological advancements and evolving privacy risks to maintain the highest level of data protection</w:t>
      </w:r>
      <w:r w:rsidR="002A44D3">
        <w:t>.</w:t>
      </w:r>
    </w:p>
    <w:p w14:paraId="3BD045D5" w14:textId="40F8A063" w:rsidR="00B27A84" w:rsidRDefault="00410E46" w:rsidP="00B27A84">
      <w:pPr>
        <w:pStyle w:val="Heading2"/>
      </w:pPr>
      <w:bookmarkStart w:id="17" w:name="_Hlk197540396"/>
      <w:r>
        <w:t xml:space="preserve">The Parties shall adhere to the data minimization principle, </w:t>
      </w:r>
      <w:r w:rsidRPr="00410E46">
        <w:t xml:space="preserve">ensuring that only data necessary and appropriate for the intended purpose is used, in alignment with the objectives set forth in this Agreement or as subsequently agreed upon by the Parties in the relevant </w:t>
      </w:r>
      <w:r w:rsidR="00895EAB">
        <w:t>data sharing agreement</w:t>
      </w:r>
      <w:r w:rsidRPr="00410E46">
        <w:t>.</w:t>
      </w:r>
    </w:p>
    <w:p w14:paraId="5226E63B" w14:textId="7E9BA542" w:rsidR="00FD42A5" w:rsidRPr="00FD42A5" w:rsidRDefault="00FD42A5" w:rsidP="003151A0">
      <w:pPr>
        <w:pStyle w:val="Heading2"/>
      </w:pPr>
      <w:r>
        <w:t>The Parties shall strictly adhere to data sharing</w:t>
      </w:r>
      <w:r w:rsidR="00410E46">
        <w:t xml:space="preserve">, </w:t>
      </w:r>
      <w:r>
        <w:t>access</w:t>
      </w:r>
      <w:r w:rsidR="00410E46">
        <w:t>, processing and disclosure</w:t>
      </w:r>
      <w:r>
        <w:t xml:space="preserve"> </w:t>
      </w:r>
      <w:r w:rsidR="00B13B9E">
        <w:t xml:space="preserve">protocols </w:t>
      </w:r>
      <w:r>
        <w:t>established under clauses</w:t>
      </w:r>
      <w:r w:rsidR="002A44D3">
        <w:t xml:space="preserve"> </w:t>
      </w:r>
      <w:r w:rsidR="002A44D3">
        <w:fldChar w:fldCharType="begin"/>
      </w:r>
      <w:r w:rsidR="002A44D3">
        <w:instrText xml:space="preserve"> REF _Ref200106106 \r \h </w:instrText>
      </w:r>
      <w:r w:rsidR="002A44D3">
        <w:fldChar w:fldCharType="separate"/>
      </w:r>
      <w:r w:rsidR="00895EAB">
        <w:t>8</w:t>
      </w:r>
      <w:r w:rsidR="002A44D3">
        <w:fldChar w:fldCharType="end"/>
      </w:r>
      <w:r w:rsidR="002A44D3">
        <w:t xml:space="preserve"> to </w:t>
      </w:r>
      <w:r w:rsidR="002A44D3">
        <w:fldChar w:fldCharType="begin"/>
      </w:r>
      <w:r w:rsidR="002A44D3">
        <w:instrText xml:space="preserve"> REF _Ref200106115 \r \h </w:instrText>
      </w:r>
      <w:r w:rsidR="002A44D3">
        <w:fldChar w:fldCharType="separate"/>
      </w:r>
      <w:r w:rsidR="002A44D3">
        <w:t>13</w:t>
      </w:r>
      <w:r w:rsidR="002A44D3">
        <w:fldChar w:fldCharType="end"/>
      </w:r>
      <w:r>
        <w:t xml:space="preserve">, </w:t>
      </w:r>
      <w:r w:rsidR="00B13B9E">
        <w:t>ensuring</w:t>
      </w:r>
      <w:r>
        <w:t xml:space="preserve"> transparency</w:t>
      </w:r>
      <w:r w:rsidR="00B13B9E">
        <w:t xml:space="preserve"> and accountability</w:t>
      </w:r>
      <w:r>
        <w:t xml:space="preserve"> on the storage location of MNO data </w:t>
      </w:r>
      <w:r w:rsidR="00F97860">
        <w:t>throughout</w:t>
      </w:r>
      <w:r>
        <w:t xml:space="preserve"> all stages of the processing pipeline</w:t>
      </w:r>
      <w:r w:rsidR="00B13B9E">
        <w:t xml:space="preserve">, </w:t>
      </w:r>
      <w:r w:rsidRPr="00FD42A5">
        <w:t>the individuals granted access</w:t>
      </w:r>
      <w:r w:rsidR="00B13B9E">
        <w:t xml:space="preserve"> and the </w:t>
      </w:r>
      <w:r w:rsidR="00F97860" w:rsidRPr="00F97860">
        <w:t>intended purpose of data use</w:t>
      </w:r>
      <w:r>
        <w:t xml:space="preserve">, </w:t>
      </w:r>
      <w:r w:rsidR="00B13B9E">
        <w:t>altogether</w:t>
      </w:r>
      <w:r>
        <w:t xml:space="preserve"> minimiz</w:t>
      </w:r>
      <w:r w:rsidR="00B13B9E">
        <w:t>ing</w:t>
      </w:r>
      <w:r>
        <w:t xml:space="preserve"> the risk of data breaches and misuse.</w:t>
      </w:r>
    </w:p>
    <w:bookmarkEnd w:id="17"/>
    <w:p w14:paraId="18288E5A" w14:textId="2C257990" w:rsidR="00F97860" w:rsidRPr="002C4F40" w:rsidRDefault="00F97860" w:rsidP="00F97860">
      <w:pPr>
        <w:pStyle w:val="Heading2"/>
      </w:pPr>
      <w:r w:rsidRPr="004F12C7">
        <w:rPr>
          <w:i/>
          <w:iCs/>
          <w:color w:val="BF4E14" w:themeColor="accent2" w:themeShade="BF"/>
        </w:rPr>
        <w:t>[</w:t>
      </w:r>
      <w:r>
        <w:rPr>
          <w:i/>
          <w:iCs/>
          <w:color w:val="BF4E14" w:themeColor="accent2" w:themeShade="BF"/>
        </w:rPr>
        <w:t>NSO</w:t>
      </w:r>
      <w:r w:rsidRPr="004F12C7">
        <w:rPr>
          <w:i/>
          <w:iCs/>
          <w:color w:val="BF4E14" w:themeColor="accent2" w:themeShade="BF"/>
        </w:rPr>
        <w:t>]</w:t>
      </w:r>
      <w:r>
        <w:rPr>
          <w:i/>
          <w:iCs/>
          <w:color w:val="BF4E14" w:themeColor="accent2" w:themeShade="BF"/>
        </w:rPr>
        <w:t xml:space="preserve"> </w:t>
      </w:r>
      <w:r>
        <w:t xml:space="preserve">shall implement appropriate encryption measures to enhance data security during the transfer of </w:t>
      </w:r>
      <w:r w:rsidR="002A44D3">
        <w:t>indicators</w:t>
      </w:r>
      <w:r>
        <w:t xml:space="preserve"> from </w:t>
      </w:r>
      <w:r w:rsidRPr="00E80114">
        <w:rPr>
          <w:i/>
          <w:iCs/>
          <w:color w:val="BF4E14" w:themeColor="accent2" w:themeShade="BF"/>
        </w:rPr>
        <w:t>[MNO 1 or MNOs]</w:t>
      </w:r>
      <w:r>
        <w:t xml:space="preserve"> to </w:t>
      </w:r>
      <w:r w:rsidRPr="004F12C7">
        <w:rPr>
          <w:i/>
          <w:iCs/>
          <w:color w:val="BF4E14" w:themeColor="accent2" w:themeShade="BF"/>
        </w:rPr>
        <w:t>[</w:t>
      </w:r>
      <w:r>
        <w:rPr>
          <w:i/>
          <w:iCs/>
          <w:color w:val="BF4E14" w:themeColor="accent2" w:themeShade="BF"/>
        </w:rPr>
        <w:t>NSO</w:t>
      </w:r>
      <w:r w:rsidRPr="004F12C7">
        <w:rPr>
          <w:i/>
          <w:iCs/>
          <w:color w:val="BF4E14" w:themeColor="accent2" w:themeShade="BF"/>
        </w:rPr>
        <w:t>]</w:t>
      </w:r>
      <w:r>
        <w:rPr>
          <w:i/>
          <w:iCs/>
          <w:color w:val="BF4E14" w:themeColor="accent2" w:themeShade="BF"/>
        </w:rPr>
        <w:t>’</w:t>
      </w:r>
      <w:r>
        <w:t>server.</w:t>
      </w:r>
      <w:r w:rsidR="00E85A65">
        <w:t xml:space="preserve"> </w:t>
      </w:r>
      <w:r w:rsidR="00E85A65" w:rsidRPr="00895EAB">
        <w:rPr>
          <w:i/>
          <w:iCs/>
          <w:color w:val="0070C0"/>
        </w:rPr>
        <w:t>[If the responsibility to host the server receiving indicators is assigned to another government entity (e.g. the regulator), replace [NSO] with the relevant government entity where appropriate.]</w:t>
      </w:r>
    </w:p>
    <w:p w14:paraId="32D9DBD4" w14:textId="5FF44073" w:rsidR="003151A0" w:rsidRDefault="003151A0" w:rsidP="003151A0">
      <w:pPr>
        <w:pStyle w:val="Heading2"/>
      </w:pPr>
      <w:r w:rsidRPr="004F12C7">
        <w:rPr>
          <w:i/>
          <w:iCs/>
          <w:color w:val="BF4E14" w:themeColor="accent2" w:themeShade="BF"/>
        </w:rPr>
        <w:t>[</w:t>
      </w:r>
      <w:r w:rsidR="00F97860">
        <w:rPr>
          <w:i/>
          <w:iCs/>
          <w:color w:val="BF4E14" w:themeColor="accent2" w:themeShade="BF"/>
        </w:rPr>
        <w:t>NSO</w:t>
      </w:r>
      <w:r w:rsidRPr="004F12C7">
        <w:rPr>
          <w:i/>
          <w:iCs/>
          <w:color w:val="BF4E14" w:themeColor="accent2" w:themeShade="BF"/>
        </w:rPr>
        <w:t>]</w:t>
      </w:r>
      <w:r>
        <w:rPr>
          <w:i/>
          <w:iCs/>
          <w:color w:val="BF4E14" w:themeColor="accent2" w:themeShade="BF"/>
        </w:rPr>
        <w:t xml:space="preserve"> </w:t>
      </w:r>
      <w:r>
        <w:t>shall take all necessary measures to minimize the risk of data breaches on</w:t>
      </w:r>
      <w:r w:rsidR="00F97860">
        <w:t xml:space="preserve"> their </w:t>
      </w:r>
      <w:r>
        <w:t xml:space="preserve">server, with minimum security requirements outlined in Appendix </w:t>
      </w:r>
      <w:r w:rsidR="00E85A65">
        <w:t>3</w:t>
      </w:r>
      <w:r>
        <w:t xml:space="preserve"> of this Agreement.</w:t>
      </w:r>
      <w:r w:rsidR="00E85A65">
        <w:t xml:space="preserve"> </w:t>
      </w:r>
      <w:r w:rsidR="00E85A65" w:rsidRPr="00895EAB">
        <w:rPr>
          <w:i/>
          <w:iCs/>
          <w:color w:val="0070C0"/>
        </w:rPr>
        <w:t>[If the responsibility to host the server receiving indicators is assigned to another government entity (e.g. the regulator), replace [NSO] with the relevant government entity where appropriate.]</w:t>
      </w:r>
    </w:p>
    <w:p w14:paraId="6F528F99" w14:textId="77777777" w:rsidR="00CB5DD2" w:rsidRPr="0005654F" w:rsidRDefault="00CB5DD2" w:rsidP="00CB5DD2">
      <w:pPr>
        <w:pStyle w:val="Heading1"/>
      </w:pPr>
      <w:r w:rsidRPr="0005654F">
        <w:t>Intellectual Property Rights</w:t>
      </w:r>
    </w:p>
    <w:p w14:paraId="4D5BE31B" w14:textId="77777777" w:rsidR="00CB5DD2" w:rsidRPr="0005654F" w:rsidRDefault="00CB5DD2" w:rsidP="00BC522C">
      <w:pPr>
        <w:pStyle w:val="Heading2"/>
      </w:pPr>
      <w:r>
        <w:t>The intellectual property (IP) rights for any data, models, algorithms, or other technical tools developed as part of this collaboration will be governed by the following principles:</w:t>
      </w:r>
    </w:p>
    <w:p w14:paraId="59246CD5" w14:textId="71DCE217" w:rsidR="00CB5DD2" w:rsidRPr="0005654F" w:rsidRDefault="00CB5DD2" w:rsidP="00BC522C">
      <w:pPr>
        <w:pStyle w:val="Heading3"/>
      </w:pPr>
      <w:r>
        <w:t xml:space="preserve">Data provided by </w:t>
      </w:r>
      <w:r w:rsidR="002A44D3" w:rsidRPr="00E80114">
        <w:rPr>
          <w:i/>
          <w:iCs/>
          <w:color w:val="BF4E14" w:themeColor="accent2" w:themeShade="BF"/>
        </w:rPr>
        <w:t>[MNO 1 or MNOs]</w:t>
      </w:r>
      <w:r w:rsidR="002A44D3">
        <w:t xml:space="preserve"> </w:t>
      </w:r>
      <w:r>
        <w:t xml:space="preserve">will remain the intellectual property of the MNOs. </w:t>
      </w:r>
      <w:r w:rsidR="00BC522C" w:rsidRPr="00BC522C">
        <w:rPr>
          <w:i/>
          <w:iCs/>
          <w:color w:val="BF4E14" w:themeColor="accent2" w:themeShade="BF"/>
        </w:rPr>
        <w:t>[NSO]</w:t>
      </w:r>
      <w:r w:rsidR="00BC522C">
        <w:t xml:space="preserve"> </w:t>
      </w:r>
      <w:r>
        <w:t>will only use the data for agreed-upon statistical purposes, including analysis, reporting, and policy development.</w:t>
      </w:r>
    </w:p>
    <w:p w14:paraId="6570020A" w14:textId="43C01D73" w:rsidR="00CB5DD2" w:rsidRPr="0005654F" w:rsidRDefault="00CB5DD2" w:rsidP="00BC522C">
      <w:pPr>
        <w:pStyle w:val="Heading3"/>
      </w:pPr>
      <w:r>
        <w:t xml:space="preserve">Any new methodologies, models, or analytical tools developed jointly by </w:t>
      </w:r>
      <w:r w:rsidR="0046664E" w:rsidRPr="0046664E">
        <w:rPr>
          <w:i/>
          <w:iCs/>
          <w:color w:val="BF4E14" w:themeColor="accent2" w:themeShade="BF"/>
        </w:rPr>
        <w:t>[NSO]</w:t>
      </w:r>
      <w:r w:rsidR="0046664E">
        <w:t xml:space="preserve"> and technical partners </w:t>
      </w:r>
      <w:r>
        <w:t xml:space="preserve">as a result of this collaboration will be co-owned by the parties involved. Each party will have the right to use and further develop these tools for non-commercial purposes. </w:t>
      </w:r>
    </w:p>
    <w:p w14:paraId="150B3199" w14:textId="77777777" w:rsidR="00CB5DD2" w:rsidRPr="0005654F" w:rsidRDefault="00CB5DD2" w:rsidP="00BC522C">
      <w:pPr>
        <w:pStyle w:val="Heading3"/>
      </w:pPr>
      <w:r>
        <w:lastRenderedPageBreak/>
        <w:t>Publications, reports, and research papers derived from this collaboration must credit all contributing parties appropriately. Any intellectual property disputes will be resolved through good-faith negotiations among the parties.</w:t>
      </w:r>
    </w:p>
    <w:p w14:paraId="697A66A3" w14:textId="77777777" w:rsidR="00CB5DD2" w:rsidRPr="0005654F" w:rsidRDefault="00CB5DD2" w:rsidP="00CB5DD2">
      <w:pPr>
        <w:pStyle w:val="Heading1"/>
      </w:pPr>
      <w:r w:rsidRPr="0005654F">
        <w:t>Liability</w:t>
      </w:r>
    </w:p>
    <w:p w14:paraId="7AC23C9A" w14:textId="77777777" w:rsidR="002D7E3E" w:rsidRDefault="00CB5DD2" w:rsidP="002D7E3E">
      <w:pPr>
        <w:pStyle w:val="Heading2"/>
      </w:pPr>
      <w:r w:rsidRPr="0005654F">
        <w:t xml:space="preserve">Each party to this MoU will be liable for its own actions and omissions. No party shall be liable for any indirect or consequential losses arising from this MoU. </w:t>
      </w:r>
    </w:p>
    <w:p w14:paraId="5EB68657" w14:textId="0C84920E" w:rsidR="002D7E3E" w:rsidRDefault="00CB5DD2" w:rsidP="002D7E3E">
      <w:pPr>
        <w:pStyle w:val="Heading2"/>
      </w:pPr>
      <w:r w:rsidRPr="0005654F">
        <w:t xml:space="preserve">In the event of any legal claims arising from the use of </w:t>
      </w:r>
      <w:r w:rsidR="002A44D3">
        <w:t>MNO data</w:t>
      </w:r>
      <w:r w:rsidRPr="0005654F">
        <w:t xml:space="preserve"> or related activities, </w:t>
      </w:r>
      <w:r w:rsidR="002A44D3" w:rsidRPr="00E80114">
        <w:rPr>
          <w:i/>
          <w:iCs/>
          <w:color w:val="BF4E14" w:themeColor="accent2" w:themeShade="BF"/>
        </w:rPr>
        <w:t>[MNO 1 or MNOs]</w:t>
      </w:r>
      <w:r w:rsidRPr="0005654F">
        <w:t xml:space="preserve"> shall not be held liable for any misuse of data by other </w:t>
      </w:r>
      <w:r w:rsidR="002A44D3">
        <w:t>p</w:t>
      </w:r>
      <w:r w:rsidRPr="0005654F">
        <w:t>arties once the data has been properly transferred in accordance with the</w:t>
      </w:r>
      <w:r w:rsidR="0046664E">
        <w:t xml:space="preserve"> protocols established in this Agreement</w:t>
      </w:r>
      <w:r w:rsidRPr="0005654F">
        <w:t xml:space="preserve">. </w:t>
      </w:r>
    </w:p>
    <w:p w14:paraId="17C073ED" w14:textId="089BDE94" w:rsidR="00CB5DD2" w:rsidRPr="0005654F" w:rsidRDefault="0046664E" w:rsidP="002D7E3E">
      <w:pPr>
        <w:pStyle w:val="Heading2"/>
      </w:pPr>
      <w:r w:rsidRPr="0046664E">
        <w:rPr>
          <w:i/>
          <w:iCs/>
          <w:color w:val="BF4E14" w:themeColor="accent2" w:themeShade="BF"/>
        </w:rPr>
        <w:t>[Regulator]</w:t>
      </w:r>
      <w:r>
        <w:t xml:space="preserve"> shall</w:t>
      </w:r>
      <w:r w:rsidR="00CB5DD2" w:rsidRPr="0005654F">
        <w:t xml:space="preserve"> ensure that all legal requirements related to the ethical use of data are followed, thus minimizing the risk of liability.</w:t>
      </w:r>
    </w:p>
    <w:p w14:paraId="4D2C167A" w14:textId="77777777" w:rsidR="00CB5DD2" w:rsidRPr="0005654F" w:rsidRDefault="00CB5DD2" w:rsidP="00CB5DD2">
      <w:pPr>
        <w:pStyle w:val="Heading1"/>
      </w:pPr>
      <w:r w:rsidRPr="0005654F">
        <w:t>Confidentiality</w:t>
      </w:r>
    </w:p>
    <w:p w14:paraId="2F6715D2" w14:textId="77777777" w:rsidR="00CB5DD2" w:rsidRDefault="00CB5DD2" w:rsidP="00CB5DD2">
      <w:r w:rsidRPr="0005654F">
        <w:t>All parties agree that any proprietary or confidential information shared as part of this collaboration will be treated with the highest level of confidentiality. Confidential information includes, but is not limited to, technical data, business strategies, operational methods, and personal data. All parties shall ensure that their employees, agents, and subcontractors abide by this confidentiality clause. Any breaches of confidentiality will be subject to remedial action, including potential legal claims.</w:t>
      </w:r>
    </w:p>
    <w:p w14:paraId="20BCE86A" w14:textId="77777777" w:rsidR="00CB5DD2" w:rsidRPr="0005654F" w:rsidRDefault="00CB5DD2" w:rsidP="00CB5DD2">
      <w:pPr>
        <w:pStyle w:val="Heading1"/>
      </w:pPr>
      <w:r w:rsidRPr="0005654F">
        <w:t>Notices</w:t>
      </w:r>
    </w:p>
    <w:p w14:paraId="0A2CFD28" w14:textId="77777777" w:rsidR="00CB5DD2" w:rsidRDefault="00CB5DD2" w:rsidP="00CB5DD2">
      <w:r w:rsidRPr="0005654F">
        <w:t>Any notices required to be given under this MoU must be delivered in writing to the designated representatives of the respective parties. Notices can be delivered by hand, via courier, or through electronic mail. The notice will be deemed effective upon receipt by the recipient party.</w:t>
      </w:r>
    </w:p>
    <w:p w14:paraId="79260398" w14:textId="77777777" w:rsidR="00995801" w:rsidRDefault="00CB5DD2" w:rsidP="00995801">
      <w:pPr>
        <w:spacing w:line="360" w:lineRule="auto"/>
        <w:jc w:val="left"/>
      </w:pPr>
      <w:r w:rsidRPr="0005654F">
        <w:t xml:space="preserve">For </w:t>
      </w:r>
      <w:r w:rsidR="007D6FDE" w:rsidRPr="007D6FDE">
        <w:rPr>
          <w:i/>
          <w:iCs/>
          <w:color w:val="BF4E14" w:themeColor="accent2" w:themeShade="BF"/>
        </w:rPr>
        <w:t>[NSO]</w:t>
      </w:r>
      <w:r w:rsidRPr="0005654F">
        <w:t>, notices shall be directed to:</w:t>
      </w:r>
    </w:p>
    <w:p w14:paraId="7AF8A86A" w14:textId="7061921D" w:rsidR="00CB5DD2" w:rsidRDefault="00CB5DD2" w:rsidP="00995801">
      <w:pPr>
        <w:spacing w:line="360" w:lineRule="auto"/>
        <w:jc w:val="left"/>
      </w:pPr>
      <w:r w:rsidRPr="0005654F">
        <w:rPr>
          <w:b/>
          <w:bCs/>
        </w:rPr>
        <w:t>Name</w:t>
      </w:r>
      <w:r w:rsidRPr="0005654F">
        <w:t>: _____________________</w:t>
      </w:r>
      <w:r w:rsidRPr="0005654F">
        <w:br/>
      </w:r>
      <w:r w:rsidRPr="0005654F">
        <w:rPr>
          <w:b/>
          <w:bCs/>
        </w:rPr>
        <w:t>Position</w:t>
      </w:r>
      <w:r w:rsidRPr="0005654F">
        <w:t>: __________________</w:t>
      </w:r>
      <w:r w:rsidRPr="0005654F">
        <w:br/>
      </w:r>
      <w:r w:rsidRPr="0005654F">
        <w:rPr>
          <w:b/>
          <w:bCs/>
        </w:rPr>
        <w:t>Address</w:t>
      </w:r>
      <w:r w:rsidRPr="0005654F">
        <w:t>: ___________________</w:t>
      </w:r>
      <w:r w:rsidRPr="0005654F">
        <w:br/>
      </w:r>
      <w:r w:rsidRPr="0005654F">
        <w:rPr>
          <w:b/>
          <w:bCs/>
        </w:rPr>
        <w:t>Email</w:t>
      </w:r>
      <w:r w:rsidRPr="0005654F">
        <w:t>: _____________________</w:t>
      </w:r>
    </w:p>
    <w:p w14:paraId="3061F640" w14:textId="0B245683" w:rsidR="00CB5DD2" w:rsidRPr="0005654F" w:rsidRDefault="00CB5DD2" w:rsidP="00995801">
      <w:pPr>
        <w:spacing w:line="360" w:lineRule="auto"/>
        <w:jc w:val="left"/>
      </w:pPr>
      <w:r w:rsidRPr="0005654F">
        <w:t>For</w:t>
      </w:r>
      <w:r w:rsidR="007D6FDE">
        <w:t xml:space="preserve"> </w:t>
      </w:r>
      <w:r w:rsidR="007D6FDE" w:rsidRPr="007D6FDE">
        <w:rPr>
          <w:i/>
          <w:iCs/>
          <w:color w:val="BF4E14" w:themeColor="accent2" w:themeShade="BF"/>
        </w:rPr>
        <w:t>[Regulator]</w:t>
      </w:r>
      <w:r w:rsidRPr="0005654F">
        <w:t>, notices shall be directed to:</w:t>
      </w:r>
      <w:r w:rsidRPr="0005654F">
        <w:br/>
      </w:r>
      <w:r w:rsidRPr="0005654F">
        <w:rPr>
          <w:b/>
          <w:bCs/>
        </w:rPr>
        <w:t>Name</w:t>
      </w:r>
      <w:r w:rsidRPr="0005654F">
        <w:t>: _____________________</w:t>
      </w:r>
      <w:r w:rsidRPr="0005654F">
        <w:br/>
      </w:r>
      <w:r w:rsidRPr="0005654F">
        <w:rPr>
          <w:b/>
          <w:bCs/>
        </w:rPr>
        <w:t>Position</w:t>
      </w:r>
      <w:r w:rsidRPr="0005654F">
        <w:t>: __________________</w:t>
      </w:r>
      <w:r w:rsidRPr="0005654F">
        <w:br/>
      </w:r>
      <w:r w:rsidRPr="0005654F">
        <w:rPr>
          <w:b/>
          <w:bCs/>
        </w:rPr>
        <w:t>Address</w:t>
      </w:r>
      <w:r w:rsidRPr="0005654F">
        <w:t>: ___________________</w:t>
      </w:r>
      <w:r w:rsidRPr="0005654F">
        <w:br/>
      </w:r>
      <w:r w:rsidRPr="0005654F">
        <w:rPr>
          <w:b/>
          <w:bCs/>
        </w:rPr>
        <w:t>Email</w:t>
      </w:r>
      <w:r w:rsidRPr="0005654F">
        <w:t>: _____________________</w:t>
      </w:r>
    </w:p>
    <w:p w14:paraId="3930C5F3" w14:textId="3EE8D6AF" w:rsidR="00CB5DD2" w:rsidRDefault="00CB5DD2" w:rsidP="00995801">
      <w:pPr>
        <w:spacing w:line="360" w:lineRule="auto"/>
        <w:jc w:val="left"/>
      </w:pPr>
      <w:r w:rsidRPr="0005654F">
        <w:lastRenderedPageBreak/>
        <w:t>For</w:t>
      </w:r>
      <w:r w:rsidR="007D6FDE">
        <w:t xml:space="preserve"> </w:t>
      </w:r>
      <w:r w:rsidR="007D6FDE" w:rsidRPr="007D6FDE">
        <w:rPr>
          <w:i/>
          <w:iCs/>
          <w:color w:val="BF4E14" w:themeColor="accent2" w:themeShade="BF"/>
        </w:rPr>
        <w:t>[MNO 1]</w:t>
      </w:r>
      <w:r w:rsidRPr="0005654F">
        <w:t>, notices shall be directed to:</w:t>
      </w:r>
      <w:r w:rsidRPr="0005654F">
        <w:br/>
      </w:r>
      <w:r w:rsidRPr="0005654F">
        <w:rPr>
          <w:b/>
          <w:bCs/>
        </w:rPr>
        <w:t>Name</w:t>
      </w:r>
      <w:r w:rsidRPr="0005654F">
        <w:t>: _____________________</w:t>
      </w:r>
      <w:r w:rsidRPr="0005654F">
        <w:br/>
      </w:r>
      <w:r w:rsidRPr="0005654F">
        <w:rPr>
          <w:b/>
          <w:bCs/>
        </w:rPr>
        <w:t>Position</w:t>
      </w:r>
      <w:r w:rsidRPr="0005654F">
        <w:t>: __________________</w:t>
      </w:r>
      <w:r w:rsidRPr="0005654F">
        <w:br/>
      </w:r>
      <w:r w:rsidRPr="0005654F">
        <w:rPr>
          <w:b/>
          <w:bCs/>
        </w:rPr>
        <w:t>Address</w:t>
      </w:r>
      <w:r w:rsidRPr="0005654F">
        <w:t>: ___________________</w:t>
      </w:r>
      <w:r w:rsidRPr="0005654F">
        <w:br/>
      </w:r>
      <w:r w:rsidRPr="0005654F">
        <w:rPr>
          <w:b/>
          <w:bCs/>
        </w:rPr>
        <w:t>Email</w:t>
      </w:r>
      <w:r w:rsidRPr="0005654F">
        <w:t>: _____________________</w:t>
      </w:r>
    </w:p>
    <w:p w14:paraId="3F86AEB6" w14:textId="77777777" w:rsidR="00CB5DD2" w:rsidRPr="0005654F" w:rsidRDefault="00CB5DD2" w:rsidP="00CB5DD2">
      <w:pPr>
        <w:pStyle w:val="Heading1"/>
      </w:pPr>
      <w:r w:rsidRPr="0005654F">
        <w:t>Assignments</w:t>
      </w:r>
    </w:p>
    <w:p w14:paraId="372A7641" w14:textId="77777777" w:rsidR="001B7B2C" w:rsidRDefault="00CB5DD2" w:rsidP="001B7B2C">
      <w:pPr>
        <w:pStyle w:val="Heading2"/>
      </w:pPr>
      <w:r w:rsidRPr="0005654F">
        <w:t xml:space="preserve">No party shall assign, transfer, or delegate any rights or obligations under this MoU without the prior written consent of the other parties. </w:t>
      </w:r>
    </w:p>
    <w:p w14:paraId="00571323" w14:textId="77777777" w:rsidR="001B7B2C" w:rsidRDefault="00CB5DD2" w:rsidP="001B7B2C">
      <w:pPr>
        <w:pStyle w:val="Heading2"/>
      </w:pPr>
      <w:r w:rsidRPr="0005654F">
        <w:t xml:space="preserve">Any attempted assignment without such consent shall be null and void. </w:t>
      </w:r>
    </w:p>
    <w:p w14:paraId="2CE95EA6" w14:textId="7307766C" w:rsidR="00CB5DD2" w:rsidRPr="0005654F" w:rsidRDefault="00CB5DD2" w:rsidP="001B7B2C">
      <w:pPr>
        <w:pStyle w:val="Heading2"/>
      </w:pPr>
      <w:r w:rsidRPr="0005654F">
        <w:t>However, each party may subcontract portions of its obligations, provided that the subcontractor agrees to abide by the terms of this MoU.</w:t>
      </w:r>
    </w:p>
    <w:p w14:paraId="0FE0DAAD" w14:textId="77777777" w:rsidR="00CB5DD2" w:rsidRPr="0005654F" w:rsidRDefault="00CB5DD2" w:rsidP="00CB5DD2">
      <w:pPr>
        <w:pStyle w:val="Heading1"/>
      </w:pPr>
      <w:bookmarkStart w:id="18" w:name="_Hlk190514941"/>
      <w:r w:rsidRPr="0005654F">
        <w:t>Rights of Third Parties</w:t>
      </w:r>
    </w:p>
    <w:p w14:paraId="4031E68E" w14:textId="77777777" w:rsidR="00CB5DD2" w:rsidRDefault="00CB5DD2" w:rsidP="00CB5DD2">
      <w:r w:rsidRPr="005E3E3B">
        <w:t>This MoU is intended solely to benefit the parties involved. No third party shall have any rights to enforce or claim any benefits under this MoU, whether by statute, contract law, or any other legal principle, except for affiliates, successors, or assigns that may be explicitly mentioned in this agreement.</w:t>
      </w:r>
    </w:p>
    <w:p w14:paraId="5566A8E8" w14:textId="77777777" w:rsidR="00CB5DD2" w:rsidRPr="0005654F" w:rsidRDefault="00CB5DD2" w:rsidP="00CB5DD2">
      <w:pPr>
        <w:pStyle w:val="Heading1"/>
      </w:pPr>
      <w:r w:rsidRPr="0005654F">
        <w:t>Severability</w:t>
      </w:r>
    </w:p>
    <w:p w14:paraId="5E6AA585" w14:textId="77777777" w:rsidR="00CB5DD2" w:rsidRPr="0005654F" w:rsidRDefault="00CB5DD2" w:rsidP="00CB5DD2">
      <w:r w:rsidRPr="0005654F">
        <w:t>If any provision of this MoU is determined by any court or competent authority to be illegal, invalid, or unenforceable, that provision shall be deemed removed to the extent necessary, but the remaining provisions shall continue in full force and effect.</w:t>
      </w:r>
    </w:p>
    <w:p w14:paraId="3C5CC5F8" w14:textId="77777777" w:rsidR="00CB5DD2" w:rsidRPr="0005654F" w:rsidRDefault="00CB5DD2" w:rsidP="00CB5DD2">
      <w:pPr>
        <w:pStyle w:val="Heading1"/>
      </w:pPr>
      <w:r w:rsidRPr="0005654F">
        <w:t>Variations and Amendments</w:t>
      </w:r>
    </w:p>
    <w:p w14:paraId="4E238F16" w14:textId="77777777" w:rsidR="00CB5DD2" w:rsidRPr="0005654F" w:rsidRDefault="00CB5DD2" w:rsidP="00CB5DD2">
      <w:r w:rsidRPr="0005654F">
        <w:t>Any modifications or amendments to this MoU must be made in writing and agreed upon by all parties. No oral modifications will be accepted. Amendments will be effective upon the signing of the revised agreement by authorized representatives of all parties.</w:t>
      </w:r>
    </w:p>
    <w:p w14:paraId="45353095" w14:textId="77777777" w:rsidR="00CB5DD2" w:rsidRPr="0005654F" w:rsidRDefault="00CB5DD2" w:rsidP="00CB5DD2">
      <w:pPr>
        <w:pStyle w:val="Heading1"/>
      </w:pPr>
      <w:r w:rsidRPr="0005654F">
        <w:t>Counterparts</w:t>
      </w:r>
    </w:p>
    <w:p w14:paraId="2495AC0E" w14:textId="77777777" w:rsidR="00CB5DD2" w:rsidRDefault="00CB5DD2" w:rsidP="00CB5DD2">
      <w:r w:rsidRPr="0005654F">
        <w:t>This MoU may be executed in counterparts, each of which shall be deemed an original, but all of which together shall constitute one and the same agreement. Copies transmitted via email or other electronic means shall be considered originals for all legal purposes.</w:t>
      </w:r>
    </w:p>
    <w:p w14:paraId="1CF66C74" w14:textId="77777777" w:rsidR="00CB5DD2" w:rsidRPr="0005654F" w:rsidRDefault="00CB5DD2" w:rsidP="00CB5DD2">
      <w:pPr>
        <w:pStyle w:val="Heading1"/>
        <w:rPr>
          <w:bCs/>
        </w:rPr>
      </w:pPr>
      <w:r w:rsidRPr="0005654F">
        <w:rPr>
          <w:bCs/>
        </w:rPr>
        <w:t>In Witness Of</w:t>
      </w:r>
    </w:p>
    <w:p w14:paraId="34AB700A" w14:textId="77777777" w:rsidR="00CB5DD2" w:rsidRPr="001851D9" w:rsidRDefault="00CB5DD2" w:rsidP="00CB5DD2">
      <w:pPr>
        <w:rPr>
          <w:lang w:val="en-IE"/>
        </w:rPr>
      </w:pPr>
      <w:r w:rsidRPr="0005654F">
        <w:t>This MoU is agreed upon and signed by the following representatives, who warrant that they are authorized to sign on behalf of their respective organizations</w:t>
      </w:r>
      <w:r w:rsidRPr="001851D9">
        <w:rPr>
          <w:lang w:val="en-IE"/>
        </w:rPr>
        <w:t>:</w:t>
      </w:r>
    </w:p>
    <w:bookmarkEnd w:id="18"/>
    <w:p w14:paraId="2FF5F791" w14:textId="1298AFF1" w:rsidR="00CB5DD2" w:rsidRPr="0005654F" w:rsidRDefault="00CB5DD2" w:rsidP="002543C6">
      <w:pPr>
        <w:spacing w:line="360" w:lineRule="auto"/>
        <w:jc w:val="left"/>
      </w:pPr>
      <w:r w:rsidRPr="0005654F">
        <w:rPr>
          <w:b/>
          <w:bCs/>
        </w:rPr>
        <w:lastRenderedPageBreak/>
        <w:t>For</w:t>
      </w:r>
      <w:r w:rsidR="007D6FDE">
        <w:rPr>
          <w:b/>
          <w:bCs/>
        </w:rPr>
        <w:t xml:space="preserve"> </w:t>
      </w:r>
      <w:r w:rsidR="007D6FDE" w:rsidRPr="007D6FDE">
        <w:rPr>
          <w:b/>
          <w:bCs/>
          <w:i/>
          <w:iCs/>
          <w:color w:val="BF4E14" w:themeColor="accent2" w:themeShade="BF"/>
        </w:rPr>
        <w:t>[NSO]</w:t>
      </w:r>
      <w:r w:rsidRPr="0005654F">
        <w:rPr>
          <w:b/>
          <w:bCs/>
        </w:rPr>
        <w:t>:</w:t>
      </w:r>
      <w:r w:rsidRPr="0005654F">
        <w:br/>
        <w:t>Name: ___________________________</w:t>
      </w:r>
      <w:r w:rsidRPr="0005654F">
        <w:br/>
        <w:t>Position: ________________________</w:t>
      </w:r>
      <w:r w:rsidRPr="0005654F">
        <w:br/>
        <w:t>Signature: _______________________</w:t>
      </w:r>
      <w:r w:rsidRPr="0005654F">
        <w:br/>
        <w:t>Date: ___________________________</w:t>
      </w:r>
    </w:p>
    <w:p w14:paraId="0A27378B" w14:textId="22563FAC" w:rsidR="00CB5DD2" w:rsidRPr="0005654F" w:rsidRDefault="00CB5DD2" w:rsidP="002543C6">
      <w:pPr>
        <w:spacing w:line="360" w:lineRule="auto"/>
        <w:jc w:val="left"/>
      </w:pPr>
      <w:r w:rsidRPr="0005654F">
        <w:rPr>
          <w:b/>
          <w:bCs/>
        </w:rPr>
        <w:t>For</w:t>
      </w:r>
      <w:r w:rsidR="007D6FDE">
        <w:rPr>
          <w:b/>
          <w:bCs/>
        </w:rPr>
        <w:t xml:space="preserve"> </w:t>
      </w:r>
      <w:r w:rsidR="007D6FDE" w:rsidRPr="007D6FDE">
        <w:rPr>
          <w:b/>
          <w:bCs/>
          <w:i/>
          <w:iCs/>
          <w:color w:val="BF4E14" w:themeColor="accent2" w:themeShade="BF"/>
        </w:rPr>
        <w:t>[Regulator]</w:t>
      </w:r>
      <w:r w:rsidRPr="0005654F">
        <w:rPr>
          <w:b/>
          <w:bCs/>
        </w:rPr>
        <w:t>:</w:t>
      </w:r>
      <w:r w:rsidRPr="0005654F">
        <w:br/>
        <w:t>Name: ___________________________</w:t>
      </w:r>
      <w:r w:rsidRPr="0005654F">
        <w:br/>
        <w:t>Position: ________________________</w:t>
      </w:r>
      <w:r w:rsidRPr="0005654F">
        <w:br/>
        <w:t>Signature: _______________________</w:t>
      </w:r>
      <w:r w:rsidRPr="0005654F">
        <w:br/>
        <w:t>Date: ___________________________</w:t>
      </w:r>
    </w:p>
    <w:p w14:paraId="3209E026" w14:textId="01541F50" w:rsidR="00CB5DD2" w:rsidRDefault="00CB5DD2" w:rsidP="00105FBC">
      <w:pPr>
        <w:spacing w:line="360" w:lineRule="auto"/>
        <w:jc w:val="left"/>
      </w:pPr>
      <w:r w:rsidRPr="0005654F">
        <w:rPr>
          <w:b/>
          <w:bCs/>
        </w:rPr>
        <w:t>For</w:t>
      </w:r>
      <w:r w:rsidR="007D6FDE">
        <w:rPr>
          <w:b/>
          <w:bCs/>
        </w:rPr>
        <w:t xml:space="preserve"> </w:t>
      </w:r>
      <w:r w:rsidR="007D6FDE" w:rsidRPr="007D6FDE">
        <w:rPr>
          <w:b/>
          <w:bCs/>
          <w:i/>
          <w:iCs/>
          <w:color w:val="BF4E14" w:themeColor="accent2" w:themeShade="BF"/>
        </w:rPr>
        <w:t>[MNO 1]</w:t>
      </w:r>
      <w:r w:rsidRPr="0005654F">
        <w:rPr>
          <w:b/>
          <w:bCs/>
        </w:rPr>
        <w:t>:</w:t>
      </w:r>
      <w:r w:rsidRPr="0005654F">
        <w:br/>
        <w:t>Name: ___________________________</w:t>
      </w:r>
      <w:r w:rsidRPr="0005654F">
        <w:br/>
        <w:t>Position: ________________________</w:t>
      </w:r>
      <w:r w:rsidRPr="0005654F">
        <w:br/>
        <w:t>Signature: _______________________</w:t>
      </w:r>
      <w:r w:rsidRPr="0005654F">
        <w:br/>
        <w:t>Date: ___________________________</w:t>
      </w:r>
      <w:r>
        <w:br w:type="page"/>
      </w:r>
    </w:p>
    <w:p w14:paraId="4937AFFF" w14:textId="6B67D701" w:rsidR="00C51A56" w:rsidRDefault="00C51A56" w:rsidP="00C51A56">
      <w:pPr>
        <w:pStyle w:val="Title"/>
        <w:jc w:val="left"/>
      </w:pPr>
      <w:r>
        <w:lastRenderedPageBreak/>
        <w:t>Appendix 1: Data Specifications Sheet governing regular Tier I nano data upload on dedicated MNO server</w:t>
      </w:r>
    </w:p>
    <w:p w14:paraId="78679B28" w14:textId="77777777" w:rsidR="00C51A56" w:rsidRDefault="00C51A56" w:rsidP="00C51A56">
      <w:pPr>
        <w:spacing w:before="240" w:after="0"/>
      </w:pPr>
      <w:r w:rsidRPr="00587E66">
        <w:rPr>
          <w:u w:val="single"/>
        </w:rPr>
        <w:t>Type of data requested</w:t>
      </w:r>
      <w:r>
        <w:t xml:space="preserve">: </w:t>
      </w:r>
    </w:p>
    <w:p w14:paraId="39B83F59" w14:textId="77777777" w:rsidR="00C51A56" w:rsidRPr="00FB4D24" w:rsidRDefault="00C51A56" w:rsidP="00C51A56">
      <w:pPr>
        <w:spacing w:before="240" w:after="0"/>
        <w:rPr>
          <w:i/>
          <w:iCs/>
          <w:color w:val="3A7C22" w:themeColor="accent6" w:themeShade="BF"/>
        </w:rPr>
      </w:pPr>
      <w:r w:rsidRPr="00FB4D24">
        <w:rPr>
          <w:i/>
          <w:iCs/>
          <w:color w:val="3A7C22" w:themeColor="accent6" w:themeShade="BF"/>
          <w:u w:val="single"/>
        </w:rPr>
        <w:t>Example</w:t>
      </w:r>
      <w:r w:rsidRPr="00FB4D24">
        <w:rPr>
          <w:i/>
          <w:iCs/>
          <w:color w:val="3A7C22" w:themeColor="accent6" w:themeShade="BF"/>
        </w:rPr>
        <w:t>:</w:t>
      </w:r>
    </w:p>
    <w:p w14:paraId="6C630FDF" w14:textId="77777777" w:rsidR="00C51A56" w:rsidRPr="00FB4D24" w:rsidRDefault="00C51A56" w:rsidP="00C51A56">
      <w:pPr>
        <w:rPr>
          <w:i/>
          <w:iCs/>
          <w:color w:val="3A7C22" w:themeColor="accent6" w:themeShade="BF"/>
        </w:rPr>
      </w:pPr>
      <w:r w:rsidRPr="00FB4D24">
        <w:rPr>
          <w:i/>
          <w:iCs/>
          <w:color w:val="3A7C22" w:themeColor="accent6" w:themeShade="BF"/>
        </w:rPr>
        <w:t>Call Detail Records (CDR) containing all Voice, SMS and data events</w:t>
      </w:r>
    </w:p>
    <w:p w14:paraId="2F64D659" w14:textId="77777777" w:rsidR="00C51A56" w:rsidRDefault="00C51A56" w:rsidP="00C51A56">
      <w:pPr>
        <w:spacing w:before="240" w:after="0"/>
      </w:pPr>
      <w:r w:rsidRPr="00587E66">
        <w:rPr>
          <w:u w:val="single"/>
        </w:rPr>
        <w:t>Variables</w:t>
      </w:r>
      <w:r>
        <w:t>:</w:t>
      </w:r>
    </w:p>
    <w:p w14:paraId="4A7FE362" w14:textId="77777777" w:rsidR="00C51A56" w:rsidRPr="00FB4D24" w:rsidRDefault="00C51A56" w:rsidP="00C51A56">
      <w:pPr>
        <w:spacing w:before="240" w:after="0"/>
        <w:rPr>
          <w:i/>
          <w:iCs/>
          <w:color w:val="3A7C22" w:themeColor="accent6" w:themeShade="BF"/>
        </w:rPr>
      </w:pPr>
      <w:r w:rsidRPr="00FB4D24">
        <w:rPr>
          <w:i/>
          <w:iCs/>
          <w:color w:val="3A7C22" w:themeColor="accent6" w:themeShade="BF"/>
          <w:u w:val="single"/>
        </w:rPr>
        <w:t>Example</w:t>
      </w:r>
      <w:r w:rsidRPr="00FB4D24">
        <w:rPr>
          <w:i/>
          <w:iCs/>
          <w:color w:val="3A7C22" w:themeColor="accent6" w:themeShade="BF"/>
        </w:rPr>
        <w:t>:</w:t>
      </w:r>
    </w:p>
    <w:p w14:paraId="2742F248" w14:textId="77777777" w:rsidR="00C51A56" w:rsidRPr="00FB4D24" w:rsidRDefault="00C51A56" w:rsidP="00C51A56">
      <w:pPr>
        <w:pStyle w:val="ListParagraph"/>
        <w:numPr>
          <w:ilvl w:val="0"/>
          <w:numId w:val="6"/>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International Mobile Equipment Identity (IMEI) of the caller (device identifier)</w:t>
      </w:r>
    </w:p>
    <w:p w14:paraId="4E55792A" w14:textId="77777777" w:rsidR="00C51A56" w:rsidRPr="00FB4D24" w:rsidRDefault="00C51A56" w:rsidP="00C51A56">
      <w:pPr>
        <w:pStyle w:val="ListParagraph"/>
        <w:numPr>
          <w:ilvl w:val="0"/>
          <w:numId w:val="5"/>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International Mobile Subscriber Identity (IMSI) of the caller (SIM card identifier)</w:t>
      </w:r>
    </w:p>
    <w:p w14:paraId="40162543" w14:textId="77777777" w:rsidR="00C51A56" w:rsidRPr="00FB4D24" w:rsidRDefault="00C51A56" w:rsidP="00C51A56">
      <w:pPr>
        <w:pStyle w:val="ListParagraph"/>
        <w:numPr>
          <w:ilvl w:val="0"/>
          <w:numId w:val="4"/>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Event start time</w:t>
      </w:r>
    </w:p>
    <w:p w14:paraId="2CA04F7C" w14:textId="77777777" w:rsidR="00C51A56" w:rsidRPr="00FB4D24" w:rsidRDefault="00C51A56" w:rsidP="00C51A56">
      <w:pPr>
        <w:pStyle w:val="ListParagraph"/>
        <w:numPr>
          <w:ilvl w:val="0"/>
          <w:numId w:val="7"/>
        </w:numPr>
        <w:spacing w:after="0"/>
        <w:ind w:left="1440"/>
        <w:rPr>
          <w:rFonts w:eastAsiaTheme="minorEastAsia"/>
          <w:i/>
          <w:iCs/>
          <w:color w:val="3A7C22" w:themeColor="accent6" w:themeShade="BF"/>
          <w:lang w:val="en-GB"/>
        </w:rPr>
      </w:pPr>
      <w:r w:rsidRPr="00FB4D24">
        <w:rPr>
          <w:rFonts w:eastAsiaTheme="minorEastAsia"/>
          <w:i/>
          <w:iCs/>
          <w:color w:val="3A7C22" w:themeColor="accent6" w:themeShade="BF"/>
          <w:lang w:val="en-GB"/>
        </w:rPr>
        <w:t>Format: YYYY-MM-DD HH24:mm:ss</w:t>
      </w:r>
    </w:p>
    <w:p w14:paraId="1D162137" w14:textId="77777777" w:rsidR="00C51A56" w:rsidRPr="00FB4D24" w:rsidRDefault="00C51A56" w:rsidP="00C51A56">
      <w:pPr>
        <w:pStyle w:val="ListParagraph"/>
        <w:numPr>
          <w:ilvl w:val="0"/>
          <w:numId w:val="3"/>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Event duration</w:t>
      </w:r>
    </w:p>
    <w:p w14:paraId="7504F44C" w14:textId="77777777" w:rsidR="00C51A56" w:rsidRPr="00FB4D24" w:rsidRDefault="00C51A56" w:rsidP="00C51A56">
      <w:pPr>
        <w:pStyle w:val="ListParagraph"/>
        <w:numPr>
          <w:ilvl w:val="0"/>
          <w:numId w:val="3"/>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 xml:space="preserve">Antenna identifier for the caller </w:t>
      </w:r>
    </w:p>
    <w:p w14:paraId="5A1D0616" w14:textId="77777777" w:rsidR="00C51A56" w:rsidRPr="00FB4D24" w:rsidRDefault="00C51A56" w:rsidP="00C51A56">
      <w:pPr>
        <w:pStyle w:val="ListParagraph"/>
        <w:numPr>
          <w:ilvl w:val="0"/>
          <w:numId w:val="7"/>
        </w:numPr>
        <w:spacing w:after="0"/>
        <w:ind w:left="1440"/>
        <w:rPr>
          <w:rFonts w:eastAsiaTheme="minorEastAsia"/>
          <w:i/>
          <w:iCs/>
          <w:color w:val="3A7C22" w:themeColor="accent6" w:themeShade="BF"/>
          <w:lang w:val="en-GB"/>
        </w:rPr>
      </w:pPr>
      <w:r w:rsidRPr="00FB4D24">
        <w:rPr>
          <w:rFonts w:eastAsiaTheme="minorEastAsia"/>
          <w:i/>
          <w:iCs/>
          <w:color w:val="3A7C22" w:themeColor="accent6" w:themeShade="BF"/>
          <w:lang w:val="en-GB"/>
        </w:rPr>
        <w:t>Format: Location Area Code (LAC) + Cell ID</w:t>
      </w:r>
    </w:p>
    <w:p w14:paraId="267F6B36" w14:textId="77777777" w:rsidR="00C51A56" w:rsidRPr="00FB4D24" w:rsidRDefault="00C51A56" w:rsidP="00C51A56">
      <w:pPr>
        <w:pStyle w:val="ListParagraph"/>
        <w:numPr>
          <w:ilvl w:val="0"/>
          <w:numId w:val="2"/>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Event type</w:t>
      </w:r>
    </w:p>
    <w:p w14:paraId="0140BBB5" w14:textId="77777777" w:rsidR="00C51A56" w:rsidRPr="00FB4D24" w:rsidRDefault="00C51A56" w:rsidP="00C51A56">
      <w:pPr>
        <w:pStyle w:val="ListParagraph"/>
        <w:numPr>
          <w:ilvl w:val="0"/>
          <w:numId w:val="7"/>
        </w:numPr>
        <w:spacing w:after="0"/>
        <w:ind w:left="1440"/>
        <w:rPr>
          <w:rFonts w:eastAsiaTheme="minorEastAsia"/>
          <w:i/>
          <w:iCs/>
          <w:color w:val="3A7C22" w:themeColor="accent6" w:themeShade="BF"/>
          <w:lang w:val="en-GB"/>
        </w:rPr>
      </w:pPr>
      <w:r w:rsidRPr="00FB4D24">
        <w:rPr>
          <w:rFonts w:eastAsiaTheme="minorEastAsia"/>
          <w:i/>
          <w:iCs/>
          <w:color w:val="3A7C22" w:themeColor="accent6" w:themeShade="BF"/>
          <w:lang w:val="en-GB"/>
        </w:rPr>
        <w:t xml:space="preserve">Voice, SMS, or Data </w:t>
      </w:r>
    </w:p>
    <w:p w14:paraId="2B6DAE00" w14:textId="77777777" w:rsidR="00C51A56" w:rsidRPr="00FB4D24" w:rsidRDefault="00C51A56" w:rsidP="00C51A56">
      <w:pPr>
        <w:pStyle w:val="ListParagraph"/>
        <w:numPr>
          <w:ilvl w:val="0"/>
          <w:numId w:val="1"/>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Technology</w:t>
      </w:r>
    </w:p>
    <w:p w14:paraId="29B90607" w14:textId="77777777" w:rsidR="00C51A56" w:rsidRPr="00FB4D24" w:rsidRDefault="00C51A56" w:rsidP="00C51A56">
      <w:pPr>
        <w:pStyle w:val="ListParagraph"/>
        <w:numPr>
          <w:ilvl w:val="0"/>
          <w:numId w:val="7"/>
        </w:numPr>
        <w:spacing w:after="0"/>
        <w:ind w:left="1440"/>
        <w:rPr>
          <w:rFonts w:eastAsiaTheme="minorEastAsia"/>
          <w:i/>
          <w:iCs/>
          <w:color w:val="3A7C22" w:themeColor="accent6" w:themeShade="BF"/>
          <w:lang w:val="en-GB"/>
        </w:rPr>
      </w:pPr>
      <w:r w:rsidRPr="00FB4D24">
        <w:rPr>
          <w:rFonts w:eastAsiaTheme="minorEastAsia"/>
          <w:i/>
          <w:iCs/>
          <w:color w:val="3A7C22" w:themeColor="accent6" w:themeShade="BF"/>
          <w:lang w:val="en-GB"/>
        </w:rPr>
        <w:t>2G, 3G, 4G, LTE, 5G]</w:t>
      </w:r>
    </w:p>
    <w:p w14:paraId="3A28F939" w14:textId="77777777" w:rsidR="00C51A56" w:rsidRDefault="00C51A56" w:rsidP="00C51A56">
      <w:r>
        <w:br w:type="page"/>
      </w:r>
    </w:p>
    <w:p w14:paraId="062B8BE5" w14:textId="40AD65D1" w:rsidR="00CB5DD2" w:rsidRDefault="00CB5DD2" w:rsidP="002543C6">
      <w:pPr>
        <w:pStyle w:val="Title"/>
        <w:spacing w:after="240"/>
        <w:jc w:val="left"/>
      </w:pPr>
      <w:r>
        <w:lastRenderedPageBreak/>
        <w:t xml:space="preserve">Appendix </w:t>
      </w:r>
      <w:r w:rsidR="00C51A56">
        <w:t>2</w:t>
      </w:r>
      <w:r>
        <w:t xml:space="preserve">: list of pre-authorized individuals for access to </w:t>
      </w:r>
      <w:r w:rsidR="002543C6" w:rsidRPr="002543C6">
        <w:rPr>
          <w:i/>
          <w:iCs/>
          <w:color w:val="BF4E14" w:themeColor="accent2" w:themeShade="BF"/>
        </w:rPr>
        <w:t>[</w:t>
      </w:r>
      <w:r w:rsidR="00124628">
        <w:rPr>
          <w:i/>
          <w:iCs/>
          <w:color w:val="BF4E14" w:themeColor="accent2" w:themeShade="BF"/>
        </w:rPr>
        <w:t>MNO 1 or MNOs</w:t>
      </w:r>
      <w:r w:rsidR="002543C6" w:rsidRPr="002543C6">
        <w:rPr>
          <w:i/>
          <w:iCs/>
          <w:color w:val="BF4E14" w:themeColor="accent2" w:themeShade="BF"/>
        </w:rPr>
        <w:t>]</w:t>
      </w:r>
      <w:r w:rsidR="002543C6">
        <w:t>’s</w:t>
      </w:r>
      <w:r>
        <w:t xml:space="preserve"> server</w:t>
      </w:r>
    </w:p>
    <w:tbl>
      <w:tblPr>
        <w:tblStyle w:val="TableGrid"/>
        <w:tblW w:w="0" w:type="auto"/>
        <w:tblLook w:val="04A0" w:firstRow="1" w:lastRow="0" w:firstColumn="1" w:lastColumn="0" w:noHBand="0" w:noVBand="1"/>
      </w:tblPr>
      <w:tblGrid>
        <w:gridCol w:w="1870"/>
        <w:gridCol w:w="1870"/>
        <w:gridCol w:w="1870"/>
        <w:gridCol w:w="1870"/>
        <w:gridCol w:w="1870"/>
      </w:tblGrid>
      <w:tr w:rsidR="00CB5DD2" w14:paraId="0CC522F1" w14:textId="77777777" w:rsidTr="005B1F7B">
        <w:tc>
          <w:tcPr>
            <w:tcW w:w="1870" w:type="dxa"/>
          </w:tcPr>
          <w:p w14:paraId="4FA27E6C" w14:textId="77777777" w:rsidR="00CB5DD2" w:rsidRPr="00587E66" w:rsidRDefault="00CB5DD2" w:rsidP="005B1F7B">
            <w:pPr>
              <w:jc w:val="center"/>
              <w:rPr>
                <w:b/>
                <w:bCs/>
              </w:rPr>
            </w:pPr>
            <w:r w:rsidRPr="00587E66">
              <w:rPr>
                <w:b/>
                <w:bCs/>
              </w:rPr>
              <w:t>First name</w:t>
            </w:r>
          </w:p>
        </w:tc>
        <w:tc>
          <w:tcPr>
            <w:tcW w:w="1870" w:type="dxa"/>
          </w:tcPr>
          <w:p w14:paraId="27D8D1D9" w14:textId="77777777" w:rsidR="00CB5DD2" w:rsidRPr="00587E66" w:rsidRDefault="00CB5DD2" w:rsidP="005B1F7B">
            <w:pPr>
              <w:jc w:val="center"/>
              <w:rPr>
                <w:b/>
                <w:bCs/>
              </w:rPr>
            </w:pPr>
            <w:r w:rsidRPr="00587E66">
              <w:rPr>
                <w:b/>
                <w:bCs/>
              </w:rPr>
              <w:t>Last name</w:t>
            </w:r>
          </w:p>
        </w:tc>
        <w:tc>
          <w:tcPr>
            <w:tcW w:w="1870" w:type="dxa"/>
          </w:tcPr>
          <w:p w14:paraId="43F738CA" w14:textId="77777777" w:rsidR="00CB5DD2" w:rsidRPr="00587E66" w:rsidRDefault="00CB5DD2" w:rsidP="005B1F7B">
            <w:pPr>
              <w:jc w:val="center"/>
              <w:rPr>
                <w:b/>
                <w:bCs/>
              </w:rPr>
            </w:pPr>
            <w:r w:rsidRPr="00587E66">
              <w:rPr>
                <w:b/>
                <w:bCs/>
              </w:rPr>
              <w:t>Institution</w:t>
            </w:r>
          </w:p>
        </w:tc>
        <w:tc>
          <w:tcPr>
            <w:tcW w:w="1870" w:type="dxa"/>
          </w:tcPr>
          <w:p w14:paraId="7E4A77BE" w14:textId="77777777" w:rsidR="00CB5DD2" w:rsidRPr="00587E66" w:rsidRDefault="00CB5DD2" w:rsidP="005B1F7B">
            <w:pPr>
              <w:jc w:val="center"/>
              <w:rPr>
                <w:b/>
                <w:bCs/>
              </w:rPr>
            </w:pPr>
            <w:r w:rsidRPr="00587E66">
              <w:rPr>
                <w:b/>
                <w:bCs/>
              </w:rPr>
              <w:t>Job title</w:t>
            </w:r>
          </w:p>
        </w:tc>
        <w:tc>
          <w:tcPr>
            <w:tcW w:w="1870" w:type="dxa"/>
          </w:tcPr>
          <w:p w14:paraId="09E0B67A" w14:textId="77777777" w:rsidR="00CB5DD2" w:rsidRPr="00587E66" w:rsidRDefault="00CB5DD2" w:rsidP="005B1F7B">
            <w:pPr>
              <w:jc w:val="center"/>
              <w:rPr>
                <w:b/>
                <w:bCs/>
              </w:rPr>
            </w:pPr>
            <w:r w:rsidRPr="00587E66">
              <w:rPr>
                <w:b/>
                <w:bCs/>
              </w:rPr>
              <w:t>Access restriction</w:t>
            </w:r>
          </w:p>
        </w:tc>
      </w:tr>
      <w:tr w:rsidR="00CB5DD2" w14:paraId="6D58DC71" w14:textId="77777777" w:rsidTr="005B1F7B">
        <w:tc>
          <w:tcPr>
            <w:tcW w:w="1870" w:type="dxa"/>
          </w:tcPr>
          <w:p w14:paraId="01DA2902" w14:textId="77777777" w:rsidR="00CB5DD2" w:rsidRDefault="00CB5DD2" w:rsidP="005B1F7B">
            <w:r>
              <w:t>...</w:t>
            </w:r>
          </w:p>
        </w:tc>
        <w:tc>
          <w:tcPr>
            <w:tcW w:w="1870" w:type="dxa"/>
          </w:tcPr>
          <w:p w14:paraId="2963E0B5" w14:textId="77777777" w:rsidR="00CB5DD2" w:rsidRDefault="00CB5DD2" w:rsidP="005B1F7B">
            <w:r>
              <w:t>...</w:t>
            </w:r>
          </w:p>
        </w:tc>
        <w:tc>
          <w:tcPr>
            <w:tcW w:w="1870" w:type="dxa"/>
          </w:tcPr>
          <w:p w14:paraId="77B05552" w14:textId="77777777" w:rsidR="00CB5DD2" w:rsidRDefault="00CB5DD2" w:rsidP="005B1F7B">
            <w:r>
              <w:t>...</w:t>
            </w:r>
          </w:p>
        </w:tc>
        <w:tc>
          <w:tcPr>
            <w:tcW w:w="1870" w:type="dxa"/>
          </w:tcPr>
          <w:p w14:paraId="42C62C44" w14:textId="77777777" w:rsidR="00CB5DD2" w:rsidRDefault="00CB5DD2" w:rsidP="005B1F7B">
            <w:r>
              <w:t>...</w:t>
            </w:r>
          </w:p>
        </w:tc>
        <w:tc>
          <w:tcPr>
            <w:tcW w:w="1870" w:type="dxa"/>
          </w:tcPr>
          <w:p w14:paraId="479D01BF" w14:textId="77777777" w:rsidR="00CB5DD2" w:rsidRDefault="00CB5DD2" w:rsidP="005B1F7B">
            <w:r>
              <w:t>...</w:t>
            </w:r>
          </w:p>
        </w:tc>
      </w:tr>
      <w:tr w:rsidR="00CB5DD2" w14:paraId="7A0C3818" w14:textId="77777777" w:rsidTr="005B1F7B">
        <w:tc>
          <w:tcPr>
            <w:tcW w:w="1870" w:type="dxa"/>
          </w:tcPr>
          <w:p w14:paraId="050DD603" w14:textId="77777777" w:rsidR="00CB5DD2" w:rsidRDefault="00CB5DD2" w:rsidP="005B1F7B"/>
        </w:tc>
        <w:tc>
          <w:tcPr>
            <w:tcW w:w="1870" w:type="dxa"/>
          </w:tcPr>
          <w:p w14:paraId="7ED7E769" w14:textId="77777777" w:rsidR="00CB5DD2" w:rsidRDefault="00CB5DD2" w:rsidP="005B1F7B"/>
        </w:tc>
        <w:tc>
          <w:tcPr>
            <w:tcW w:w="1870" w:type="dxa"/>
          </w:tcPr>
          <w:p w14:paraId="3BD59B6F" w14:textId="77777777" w:rsidR="00CB5DD2" w:rsidRDefault="00CB5DD2" w:rsidP="005B1F7B"/>
        </w:tc>
        <w:tc>
          <w:tcPr>
            <w:tcW w:w="1870" w:type="dxa"/>
          </w:tcPr>
          <w:p w14:paraId="0CB8C792" w14:textId="77777777" w:rsidR="00CB5DD2" w:rsidRDefault="00CB5DD2" w:rsidP="005B1F7B"/>
        </w:tc>
        <w:tc>
          <w:tcPr>
            <w:tcW w:w="1870" w:type="dxa"/>
          </w:tcPr>
          <w:p w14:paraId="27CCE224" w14:textId="77777777" w:rsidR="00CB5DD2" w:rsidRDefault="00CB5DD2" w:rsidP="005B1F7B"/>
        </w:tc>
      </w:tr>
      <w:tr w:rsidR="00CB5DD2" w14:paraId="7FDCE38A" w14:textId="77777777" w:rsidTr="005B1F7B">
        <w:tc>
          <w:tcPr>
            <w:tcW w:w="1870" w:type="dxa"/>
          </w:tcPr>
          <w:p w14:paraId="41D0F9B0" w14:textId="77777777" w:rsidR="00CB5DD2" w:rsidRDefault="00CB5DD2" w:rsidP="005B1F7B"/>
        </w:tc>
        <w:tc>
          <w:tcPr>
            <w:tcW w:w="1870" w:type="dxa"/>
          </w:tcPr>
          <w:p w14:paraId="0907B047" w14:textId="77777777" w:rsidR="00CB5DD2" w:rsidRDefault="00CB5DD2" w:rsidP="005B1F7B"/>
        </w:tc>
        <w:tc>
          <w:tcPr>
            <w:tcW w:w="1870" w:type="dxa"/>
          </w:tcPr>
          <w:p w14:paraId="07025762" w14:textId="77777777" w:rsidR="00CB5DD2" w:rsidRDefault="00CB5DD2" w:rsidP="005B1F7B"/>
        </w:tc>
        <w:tc>
          <w:tcPr>
            <w:tcW w:w="1870" w:type="dxa"/>
          </w:tcPr>
          <w:p w14:paraId="7FDEF7EE" w14:textId="77777777" w:rsidR="00CB5DD2" w:rsidRDefault="00CB5DD2" w:rsidP="005B1F7B"/>
        </w:tc>
        <w:tc>
          <w:tcPr>
            <w:tcW w:w="1870" w:type="dxa"/>
          </w:tcPr>
          <w:p w14:paraId="27DA618B" w14:textId="77777777" w:rsidR="00CB5DD2" w:rsidRDefault="00CB5DD2" w:rsidP="005B1F7B"/>
        </w:tc>
      </w:tr>
      <w:tr w:rsidR="00CB5DD2" w14:paraId="001D8253" w14:textId="77777777" w:rsidTr="005B1F7B">
        <w:tc>
          <w:tcPr>
            <w:tcW w:w="1870" w:type="dxa"/>
          </w:tcPr>
          <w:p w14:paraId="5812215D" w14:textId="77777777" w:rsidR="00CB5DD2" w:rsidRDefault="00CB5DD2" w:rsidP="005B1F7B"/>
        </w:tc>
        <w:tc>
          <w:tcPr>
            <w:tcW w:w="1870" w:type="dxa"/>
          </w:tcPr>
          <w:p w14:paraId="4A96CCEB" w14:textId="77777777" w:rsidR="00CB5DD2" w:rsidRDefault="00CB5DD2" w:rsidP="005B1F7B"/>
        </w:tc>
        <w:tc>
          <w:tcPr>
            <w:tcW w:w="1870" w:type="dxa"/>
          </w:tcPr>
          <w:p w14:paraId="16402EF0" w14:textId="77777777" w:rsidR="00CB5DD2" w:rsidRDefault="00CB5DD2" w:rsidP="005B1F7B"/>
        </w:tc>
        <w:tc>
          <w:tcPr>
            <w:tcW w:w="1870" w:type="dxa"/>
          </w:tcPr>
          <w:p w14:paraId="37555F51" w14:textId="77777777" w:rsidR="00CB5DD2" w:rsidRDefault="00CB5DD2" w:rsidP="005B1F7B"/>
        </w:tc>
        <w:tc>
          <w:tcPr>
            <w:tcW w:w="1870" w:type="dxa"/>
          </w:tcPr>
          <w:p w14:paraId="61366DC1" w14:textId="77777777" w:rsidR="00CB5DD2" w:rsidRDefault="00CB5DD2" w:rsidP="005B1F7B"/>
        </w:tc>
      </w:tr>
      <w:tr w:rsidR="00CB5DD2" w14:paraId="67B0CFF1" w14:textId="77777777" w:rsidTr="005B1F7B">
        <w:tc>
          <w:tcPr>
            <w:tcW w:w="1870" w:type="dxa"/>
          </w:tcPr>
          <w:p w14:paraId="071D4B46" w14:textId="77777777" w:rsidR="00CB5DD2" w:rsidRDefault="00CB5DD2" w:rsidP="005B1F7B"/>
        </w:tc>
        <w:tc>
          <w:tcPr>
            <w:tcW w:w="1870" w:type="dxa"/>
          </w:tcPr>
          <w:p w14:paraId="09DD7ADA" w14:textId="77777777" w:rsidR="00CB5DD2" w:rsidRDefault="00CB5DD2" w:rsidP="005B1F7B"/>
        </w:tc>
        <w:tc>
          <w:tcPr>
            <w:tcW w:w="1870" w:type="dxa"/>
          </w:tcPr>
          <w:p w14:paraId="10BEA474" w14:textId="77777777" w:rsidR="00CB5DD2" w:rsidRDefault="00CB5DD2" w:rsidP="005B1F7B"/>
        </w:tc>
        <w:tc>
          <w:tcPr>
            <w:tcW w:w="1870" w:type="dxa"/>
          </w:tcPr>
          <w:p w14:paraId="7CB7A140" w14:textId="77777777" w:rsidR="00CB5DD2" w:rsidRDefault="00CB5DD2" w:rsidP="005B1F7B"/>
        </w:tc>
        <w:tc>
          <w:tcPr>
            <w:tcW w:w="1870" w:type="dxa"/>
          </w:tcPr>
          <w:p w14:paraId="2BB20684" w14:textId="77777777" w:rsidR="00CB5DD2" w:rsidRDefault="00CB5DD2" w:rsidP="005B1F7B"/>
        </w:tc>
      </w:tr>
      <w:tr w:rsidR="00CB5DD2" w14:paraId="238CC361" w14:textId="77777777" w:rsidTr="005B1F7B">
        <w:tc>
          <w:tcPr>
            <w:tcW w:w="1870" w:type="dxa"/>
          </w:tcPr>
          <w:p w14:paraId="0526302A" w14:textId="77777777" w:rsidR="00CB5DD2" w:rsidRDefault="00CB5DD2" w:rsidP="005B1F7B"/>
        </w:tc>
        <w:tc>
          <w:tcPr>
            <w:tcW w:w="1870" w:type="dxa"/>
          </w:tcPr>
          <w:p w14:paraId="2512660B" w14:textId="77777777" w:rsidR="00CB5DD2" w:rsidRDefault="00CB5DD2" w:rsidP="005B1F7B"/>
        </w:tc>
        <w:tc>
          <w:tcPr>
            <w:tcW w:w="1870" w:type="dxa"/>
          </w:tcPr>
          <w:p w14:paraId="4DE182F8" w14:textId="77777777" w:rsidR="00CB5DD2" w:rsidRDefault="00CB5DD2" w:rsidP="005B1F7B"/>
        </w:tc>
        <w:tc>
          <w:tcPr>
            <w:tcW w:w="1870" w:type="dxa"/>
          </w:tcPr>
          <w:p w14:paraId="5F6A4F2A" w14:textId="77777777" w:rsidR="00CB5DD2" w:rsidRDefault="00CB5DD2" w:rsidP="005B1F7B"/>
        </w:tc>
        <w:tc>
          <w:tcPr>
            <w:tcW w:w="1870" w:type="dxa"/>
          </w:tcPr>
          <w:p w14:paraId="0C6BEDC1" w14:textId="77777777" w:rsidR="00CB5DD2" w:rsidRDefault="00CB5DD2" w:rsidP="005B1F7B"/>
        </w:tc>
      </w:tr>
      <w:tr w:rsidR="00CB5DD2" w14:paraId="70AAD53B" w14:textId="77777777" w:rsidTr="005B1F7B">
        <w:tc>
          <w:tcPr>
            <w:tcW w:w="1870" w:type="dxa"/>
          </w:tcPr>
          <w:p w14:paraId="6A3037E7" w14:textId="77777777" w:rsidR="00CB5DD2" w:rsidRDefault="00CB5DD2" w:rsidP="005B1F7B"/>
        </w:tc>
        <w:tc>
          <w:tcPr>
            <w:tcW w:w="1870" w:type="dxa"/>
          </w:tcPr>
          <w:p w14:paraId="56DD86B0" w14:textId="77777777" w:rsidR="00CB5DD2" w:rsidRDefault="00CB5DD2" w:rsidP="005B1F7B"/>
        </w:tc>
        <w:tc>
          <w:tcPr>
            <w:tcW w:w="1870" w:type="dxa"/>
          </w:tcPr>
          <w:p w14:paraId="0B84EBC0" w14:textId="77777777" w:rsidR="00CB5DD2" w:rsidRDefault="00CB5DD2" w:rsidP="005B1F7B"/>
        </w:tc>
        <w:tc>
          <w:tcPr>
            <w:tcW w:w="1870" w:type="dxa"/>
          </w:tcPr>
          <w:p w14:paraId="0554E81D" w14:textId="77777777" w:rsidR="00CB5DD2" w:rsidRDefault="00CB5DD2" w:rsidP="005B1F7B"/>
        </w:tc>
        <w:tc>
          <w:tcPr>
            <w:tcW w:w="1870" w:type="dxa"/>
          </w:tcPr>
          <w:p w14:paraId="25595F54" w14:textId="77777777" w:rsidR="00CB5DD2" w:rsidRDefault="00CB5DD2" w:rsidP="005B1F7B"/>
        </w:tc>
      </w:tr>
    </w:tbl>
    <w:p w14:paraId="64C32FB8" w14:textId="77777777" w:rsidR="00CB5DD2" w:rsidRPr="0005654F" w:rsidRDefault="00CB5DD2" w:rsidP="00CB5DD2">
      <w:pPr>
        <w:spacing w:before="240" w:after="0"/>
      </w:pPr>
    </w:p>
    <w:p w14:paraId="0B83B6D3" w14:textId="4CC3665D" w:rsidR="005651C5" w:rsidRDefault="005651C5">
      <w:pPr>
        <w:spacing w:after="160" w:line="259" w:lineRule="auto"/>
        <w:jc w:val="left"/>
      </w:pPr>
      <w:r>
        <w:br w:type="page"/>
      </w:r>
    </w:p>
    <w:p w14:paraId="7F3AE854" w14:textId="18FF4C3A" w:rsidR="0076222C" w:rsidRDefault="005651C5" w:rsidP="0018393D">
      <w:pPr>
        <w:pStyle w:val="Title"/>
        <w:jc w:val="left"/>
      </w:pPr>
      <w:r>
        <w:lastRenderedPageBreak/>
        <w:t xml:space="preserve">Appendix </w:t>
      </w:r>
      <w:r w:rsidR="00C51A56">
        <w:t>3</w:t>
      </w:r>
      <w:r>
        <w:t>: Minimum Security Requirements</w:t>
      </w:r>
    </w:p>
    <w:p w14:paraId="52BA204A" w14:textId="1F867B62" w:rsidR="005651C5" w:rsidRPr="0018393D" w:rsidRDefault="005651C5">
      <w:pPr>
        <w:rPr>
          <w:i/>
          <w:iCs/>
          <w:color w:val="3A7C22" w:themeColor="accent6" w:themeShade="BF"/>
        </w:rPr>
      </w:pPr>
      <w:r w:rsidRPr="0018393D">
        <w:rPr>
          <w:i/>
          <w:iCs/>
          <w:color w:val="3A7C22" w:themeColor="accent6" w:themeShade="BF"/>
          <w:u w:val="single"/>
        </w:rPr>
        <w:t>Example</w:t>
      </w:r>
      <w:r w:rsidRPr="0018393D">
        <w:rPr>
          <w:i/>
          <w:iCs/>
          <w:color w:val="3A7C22" w:themeColor="accent6" w:themeShade="BF"/>
        </w:rPr>
        <w:t>:</w:t>
      </w:r>
    </w:p>
    <w:p w14:paraId="5605B950" w14:textId="12D74151" w:rsidR="005651C5" w:rsidRPr="0018393D" w:rsidRDefault="005651C5" w:rsidP="005651C5">
      <w:pPr>
        <w:rPr>
          <w:i/>
          <w:iCs/>
          <w:color w:val="3A7C22" w:themeColor="accent6" w:themeShade="BF"/>
        </w:rPr>
      </w:pPr>
      <w:r w:rsidRPr="0018393D">
        <w:rPr>
          <w:b/>
          <w:bCs/>
          <w:i/>
          <w:iCs/>
          <w:color w:val="3A7C22" w:themeColor="accent6" w:themeShade="BF"/>
        </w:rPr>
        <w:t>Network security</w:t>
      </w:r>
      <w:r w:rsidRPr="0018393D">
        <w:rPr>
          <w:i/>
          <w:iCs/>
          <w:color w:val="3A7C22" w:themeColor="accent6" w:themeShade="BF"/>
        </w:rPr>
        <w:t>:</w:t>
      </w:r>
    </w:p>
    <w:p w14:paraId="206710FC" w14:textId="70DDA694"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Use the latest operating system with all security patches applied</w:t>
      </w:r>
      <w:r w:rsidR="0018393D" w:rsidRPr="0018393D">
        <w:rPr>
          <w:i/>
          <w:iCs/>
          <w:color w:val="3A7C22" w:themeColor="accent6" w:themeShade="BF"/>
        </w:rPr>
        <w:t>.</w:t>
      </w:r>
    </w:p>
    <w:p w14:paraId="5B36F137" w14:textId="024C69C4"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Implement firewall rules to allow only essential traffic</w:t>
      </w:r>
      <w:r w:rsidR="0018393D" w:rsidRPr="0018393D">
        <w:rPr>
          <w:i/>
          <w:iCs/>
          <w:color w:val="3A7C22" w:themeColor="accent6" w:themeShade="BF"/>
        </w:rPr>
        <w:t>.</w:t>
      </w:r>
    </w:p>
    <w:p w14:paraId="3228E6A0" w14:textId="48822A31"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Implement intrusion detection and prevention systems (IDS/IPS) to monitor and block suspicious activity</w:t>
      </w:r>
      <w:r w:rsidR="0018393D" w:rsidRPr="0018393D">
        <w:rPr>
          <w:i/>
          <w:iCs/>
          <w:color w:val="3A7C22" w:themeColor="accent6" w:themeShade="BF"/>
        </w:rPr>
        <w:t>.</w:t>
      </w:r>
    </w:p>
    <w:p w14:paraId="5FD1CCC4" w14:textId="5929A81C" w:rsidR="005651C5" w:rsidRPr="0018393D" w:rsidRDefault="005651C5" w:rsidP="005651C5">
      <w:pPr>
        <w:rPr>
          <w:i/>
          <w:iCs/>
          <w:color w:val="3A7C22" w:themeColor="accent6" w:themeShade="BF"/>
        </w:rPr>
      </w:pPr>
      <w:r w:rsidRPr="0018393D">
        <w:rPr>
          <w:b/>
          <w:bCs/>
          <w:i/>
          <w:iCs/>
          <w:color w:val="3A7C22" w:themeColor="accent6" w:themeShade="BF"/>
        </w:rPr>
        <w:t>Access control and authentication</w:t>
      </w:r>
      <w:r w:rsidRPr="0018393D">
        <w:rPr>
          <w:i/>
          <w:iCs/>
          <w:color w:val="3A7C22" w:themeColor="accent6" w:themeShade="BF"/>
        </w:rPr>
        <w:t>:</w:t>
      </w:r>
    </w:p>
    <w:p w14:paraId="12EBC6F4" w14:textId="4499772A"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 xml:space="preserve">Enforce strong password policies (length, complexity, expiration) and </w:t>
      </w:r>
      <w:r w:rsidR="0018393D" w:rsidRPr="0018393D">
        <w:rPr>
          <w:i/>
          <w:iCs/>
          <w:color w:val="3A7C22" w:themeColor="accent6" w:themeShade="BF"/>
        </w:rPr>
        <w:t>multi-factor authentication (MFA) for all privileged accounts.</w:t>
      </w:r>
    </w:p>
    <w:p w14:paraId="1C292639" w14:textId="4E7D5D2D" w:rsidR="0018393D" w:rsidRPr="0018393D" w:rsidRDefault="0018393D" w:rsidP="005651C5">
      <w:pPr>
        <w:pStyle w:val="ListParagraph"/>
        <w:numPr>
          <w:ilvl w:val="0"/>
          <w:numId w:val="1"/>
        </w:numPr>
        <w:rPr>
          <w:i/>
          <w:iCs/>
          <w:color w:val="3A7C22" w:themeColor="accent6" w:themeShade="BF"/>
        </w:rPr>
      </w:pPr>
      <w:r w:rsidRPr="0018393D">
        <w:rPr>
          <w:i/>
          <w:iCs/>
          <w:color w:val="3A7C22" w:themeColor="accent6" w:themeShade="BF"/>
        </w:rPr>
        <w:t>Use role-based access control (RBAC) to manage user permissions effectively.</w:t>
      </w:r>
    </w:p>
    <w:p w14:paraId="40373C4B" w14:textId="3A6C55CC" w:rsidR="0018393D" w:rsidRPr="0018393D" w:rsidRDefault="0018393D" w:rsidP="005651C5">
      <w:pPr>
        <w:pStyle w:val="ListParagraph"/>
        <w:numPr>
          <w:ilvl w:val="0"/>
          <w:numId w:val="1"/>
        </w:numPr>
        <w:rPr>
          <w:i/>
          <w:iCs/>
          <w:color w:val="3A7C22" w:themeColor="accent6" w:themeShade="BF"/>
        </w:rPr>
      </w:pPr>
      <w:r w:rsidRPr="0018393D">
        <w:rPr>
          <w:i/>
          <w:iCs/>
          <w:color w:val="3A7C22" w:themeColor="accent6" w:themeShade="BF"/>
        </w:rPr>
        <w:t>Regularly review and revoke inactive or unnecessary accounts.</w:t>
      </w:r>
    </w:p>
    <w:p w14:paraId="03E4FC37" w14:textId="204AB696" w:rsidR="0018393D" w:rsidRPr="0018393D" w:rsidRDefault="0018393D" w:rsidP="0018393D">
      <w:pPr>
        <w:rPr>
          <w:b/>
          <w:bCs/>
          <w:i/>
          <w:iCs/>
          <w:color w:val="3A7C22" w:themeColor="accent6" w:themeShade="BF"/>
        </w:rPr>
      </w:pPr>
      <w:r w:rsidRPr="0018393D">
        <w:rPr>
          <w:b/>
          <w:bCs/>
          <w:i/>
          <w:iCs/>
          <w:color w:val="3A7C22" w:themeColor="accent6" w:themeShade="BF"/>
        </w:rPr>
        <w:t>Encryption and data protection</w:t>
      </w:r>
      <w:r>
        <w:rPr>
          <w:b/>
          <w:bCs/>
          <w:i/>
          <w:iCs/>
          <w:color w:val="3A7C22" w:themeColor="accent6" w:themeShade="BF"/>
        </w:rPr>
        <w:t>:</w:t>
      </w:r>
    </w:p>
    <w:p w14:paraId="091F7F8A" w14:textId="70DAA623" w:rsidR="0018393D" w:rsidRPr="0018393D" w:rsidRDefault="0018393D" w:rsidP="0018393D">
      <w:pPr>
        <w:pStyle w:val="ListParagraph"/>
        <w:numPr>
          <w:ilvl w:val="0"/>
          <w:numId w:val="1"/>
        </w:numPr>
        <w:rPr>
          <w:i/>
          <w:iCs/>
          <w:color w:val="3A7C22" w:themeColor="accent6" w:themeShade="BF"/>
          <w:lang w:val="en-IE"/>
        </w:rPr>
      </w:pPr>
      <w:r w:rsidRPr="0018393D">
        <w:rPr>
          <w:i/>
          <w:iCs/>
          <w:color w:val="3A7C22" w:themeColor="accent6" w:themeShade="BF"/>
          <w:lang w:val="en-IE"/>
        </w:rPr>
        <w:t>Encrypt data at rest using industry-standard encryption algorithms (e.g., AES-256).</w:t>
      </w:r>
    </w:p>
    <w:p w14:paraId="186C86B6" w14:textId="182961E9" w:rsidR="0018393D" w:rsidRPr="0018393D" w:rsidRDefault="0018393D" w:rsidP="0018393D">
      <w:pPr>
        <w:pStyle w:val="ListParagraph"/>
        <w:numPr>
          <w:ilvl w:val="0"/>
          <w:numId w:val="1"/>
        </w:numPr>
        <w:rPr>
          <w:i/>
          <w:iCs/>
          <w:color w:val="3A7C22" w:themeColor="accent6" w:themeShade="BF"/>
          <w:lang w:val="en-IE"/>
        </w:rPr>
      </w:pPr>
      <w:r w:rsidRPr="0018393D">
        <w:rPr>
          <w:i/>
          <w:iCs/>
          <w:color w:val="3A7C22" w:themeColor="accent6" w:themeShade="BF"/>
          <w:lang w:val="en-IE"/>
        </w:rPr>
        <w:t>Secure data in transit with TLS 1.2 or higher to prevent interception.</w:t>
      </w:r>
    </w:p>
    <w:p w14:paraId="2C10624F" w14:textId="33A0F410"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lang w:val="en-IE"/>
        </w:rPr>
        <w:t>Regularly rotate encryption keys and store them in a secure hardware security module (HSM).</w:t>
      </w:r>
    </w:p>
    <w:p w14:paraId="40976E6B" w14:textId="6D4B5974" w:rsidR="0018393D" w:rsidRPr="0018393D" w:rsidRDefault="0018393D" w:rsidP="0018393D">
      <w:pPr>
        <w:rPr>
          <w:b/>
          <w:bCs/>
          <w:i/>
          <w:iCs/>
          <w:color w:val="3A7C22" w:themeColor="accent6" w:themeShade="BF"/>
        </w:rPr>
      </w:pPr>
      <w:r w:rsidRPr="0018393D">
        <w:rPr>
          <w:b/>
          <w:bCs/>
          <w:i/>
          <w:iCs/>
          <w:color w:val="3A7C22" w:themeColor="accent6" w:themeShade="BF"/>
        </w:rPr>
        <w:t>Logging, monitoring and incident response</w:t>
      </w:r>
      <w:r>
        <w:rPr>
          <w:b/>
          <w:bCs/>
          <w:i/>
          <w:iCs/>
          <w:color w:val="3A7C22" w:themeColor="accent6" w:themeShade="BF"/>
        </w:rPr>
        <w:t>:</w:t>
      </w:r>
    </w:p>
    <w:p w14:paraId="0C73E8AC" w14:textId="6C301DA7"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Enable detailed logging of all access and changes.</w:t>
      </w:r>
    </w:p>
    <w:p w14:paraId="55B1D43E" w14:textId="2F0909A4"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Use centralized log management (e.g., SIEM solutions).</w:t>
      </w:r>
    </w:p>
    <w:p w14:paraId="31AE6C2F" w14:textId="6C6F6D69"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Implement real-time monitoring with alerts for suspicious activities.</w:t>
      </w:r>
    </w:p>
    <w:p w14:paraId="03817421" w14:textId="2736A1E3"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Develop and routinely test an incident response plan to address security breaches effectively.</w:t>
      </w:r>
    </w:p>
    <w:p w14:paraId="540FDF6D" w14:textId="7EB3A37C" w:rsidR="0018393D" w:rsidRPr="0018393D" w:rsidRDefault="0018393D" w:rsidP="0018393D">
      <w:pPr>
        <w:rPr>
          <w:b/>
          <w:bCs/>
          <w:i/>
          <w:iCs/>
          <w:color w:val="3A7C22" w:themeColor="accent6" w:themeShade="BF"/>
        </w:rPr>
      </w:pPr>
      <w:r w:rsidRPr="0018393D">
        <w:rPr>
          <w:b/>
          <w:bCs/>
          <w:i/>
          <w:iCs/>
          <w:color w:val="3A7C22" w:themeColor="accent6" w:themeShade="BF"/>
        </w:rPr>
        <w:t>Physical security</w:t>
      </w:r>
      <w:r>
        <w:rPr>
          <w:b/>
          <w:bCs/>
          <w:i/>
          <w:iCs/>
          <w:color w:val="3A7C22" w:themeColor="accent6" w:themeShade="BF"/>
        </w:rPr>
        <w:t>:</w:t>
      </w:r>
    </w:p>
    <w:p w14:paraId="65266933" w14:textId="268A90F9" w:rsidR="0018393D" w:rsidRPr="0018393D" w:rsidRDefault="0018393D" w:rsidP="00B46939">
      <w:pPr>
        <w:pStyle w:val="ListParagraph"/>
        <w:numPr>
          <w:ilvl w:val="0"/>
          <w:numId w:val="1"/>
        </w:numPr>
        <w:rPr>
          <w:i/>
          <w:iCs/>
          <w:color w:val="3A7C22" w:themeColor="accent6" w:themeShade="BF"/>
        </w:rPr>
      </w:pPr>
      <w:r w:rsidRPr="0018393D">
        <w:rPr>
          <w:i/>
          <w:iCs/>
          <w:color w:val="3A7C22" w:themeColor="accent6" w:themeShade="BF"/>
        </w:rPr>
        <w:t>Restrict physical access to the server room/data center through biometric, key card, or PIN-based access control.</w:t>
      </w:r>
    </w:p>
    <w:p w14:paraId="6C07BA08" w14:textId="2C32EE46" w:rsidR="0018393D" w:rsidRPr="0018393D" w:rsidRDefault="0018393D" w:rsidP="00B46939">
      <w:pPr>
        <w:pStyle w:val="ListParagraph"/>
        <w:numPr>
          <w:ilvl w:val="0"/>
          <w:numId w:val="1"/>
        </w:numPr>
        <w:rPr>
          <w:i/>
          <w:iCs/>
          <w:color w:val="3A7C22" w:themeColor="accent6" w:themeShade="BF"/>
        </w:rPr>
      </w:pPr>
      <w:r w:rsidRPr="0018393D">
        <w:rPr>
          <w:i/>
          <w:iCs/>
          <w:color w:val="3A7C22" w:themeColor="accent6" w:themeShade="BF"/>
        </w:rPr>
        <w:t>Ensure proper environmental controls (e.g., temperature, humidity) to protect hardware integrity.</w:t>
      </w:r>
    </w:p>
    <w:p w14:paraId="3F30E94C" w14:textId="4C93BF10" w:rsidR="0018393D" w:rsidRPr="0018393D" w:rsidRDefault="0018393D" w:rsidP="0018393D">
      <w:pPr>
        <w:rPr>
          <w:b/>
          <w:bCs/>
          <w:i/>
          <w:iCs/>
          <w:color w:val="3A7C22" w:themeColor="accent6" w:themeShade="BF"/>
        </w:rPr>
      </w:pPr>
      <w:r w:rsidRPr="0018393D">
        <w:rPr>
          <w:b/>
          <w:bCs/>
          <w:i/>
          <w:iCs/>
          <w:color w:val="3A7C22" w:themeColor="accent6" w:themeShade="BF"/>
        </w:rPr>
        <w:t>Secure backup and disaster recovery</w:t>
      </w:r>
      <w:r>
        <w:rPr>
          <w:b/>
          <w:bCs/>
          <w:i/>
          <w:iCs/>
          <w:color w:val="3A7C22" w:themeColor="accent6" w:themeShade="BF"/>
        </w:rPr>
        <w:t>:</w:t>
      </w:r>
    </w:p>
    <w:p w14:paraId="5272EF8F" w14:textId="192BDA5F"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Maintain regular, encrypted backups stored in a separate location.</w:t>
      </w:r>
    </w:p>
    <w:p w14:paraId="1E5D30D2" w14:textId="6DEB74D3"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Test disaster recovery plans regularly.</w:t>
      </w:r>
    </w:p>
    <w:p w14:paraId="478814C0" w14:textId="09B56BC3"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Implement immutable backups to prevent ransomware attacks.</w:t>
      </w:r>
    </w:p>
    <w:sectPr w:rsidR="0018393D" w:rsidRPr="0018393D" w:rsidSect="00CB5D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029A" w14:textId="77777777" w:rsidR="00887D50" w:rsidRDefault="00887D50" w:rsidP="00791E9E">
      <w:pPr>
        <w:spacing w:after="0" w:line="240" w:lineRule="auto"/>
      </w:pPr>
      <w:r>
        <w:separator/>
      </w:r>
    </w:p>
  </w:endnote>
  <w:endnote w:type="continuationSeparator" w:id="0">
    <w:p w14:paraId="4949E738" w14:textId="77777777" w:rsidR="00887D50" w:rsidRDefault="00887D50" w:rsidP="0079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7071" w14:textId="77777777" w:rsidR="00887D50" w:rsidRDefault="00887D50" w:rsidP="00791E9E">
      <w:pPr>
        <w:spacing w:after="0" w:line="240" w:lineRule="auto"/>
      </w:pPr>
      <w:r>
        <w:separator/>
      </w:r>
    </w:p>
  </w:footnote>
  <w:footnote w:type="continuationSeparator" w:id="0">
    <w:p w14:paraId="14690DC7" w14:textId="77777777" w:rsidR="00887D50" w:rsidRDefault="00887D50" w:rsidP="00791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7771"/>
    <w:multiLevelType w:val="hybridMultilevel"/>
    <w:tmpl w:val="A2205652"/>
    <w:lvl w:ilvl="0" w:tplc="E384F74E">
      <w:start w:val="1"/>
      <w:numFmt w:val="bullet"/>
      <w:lvlText w:val="-"/>
      <w:lvlJc w:val="left"/>
      <w:pPr>
        <w:ind w:left="720" w:hanging="360"/>
      </w:pPr>
      <w:rPr>
        <w:rFonts w:ascii="Aptos" w:hAnsi="Aptos" w:hint="default"/>
      </w:rPr>
    </w:lvl>
    <w:lvl w:ilvl="1" w:tplc="FAC058B6">
      <w:start w:val="1"/>
      <w:numFmt w:val="bullet"/>
      <w:lvlText w:val="o"/>
      <w:lvlJc w:val="left"/>
      <w:pPr>
        <w:ind w:left="1440" w:hanging="360"/>
      </w:pPr>
      <w:rPr>
        <w:rFonts w:ascii="Courier New" w:hAnsi="Courier New" w:hint="default"/>
      </w:rPr>
    </w:lvl>
    <w:lvl w:ilvl="2" w:tplc="93BE67B0">
      <w:start w:val="1"/>
      <w:numFmt w:val="bullet"/>
      <w:lvlText w:val=""/>
      <w:lvlJc w:val="left"/>
      <w:pPr>
        <w:ind w:left="2160" w:hanging="360"/>
      </w:pPr>
      <w:rPr>
        <w:rFonts w:ascii="Wingdings" w:hAnsi="Wingdings" w:hint="default"/>
      </w:rPr>
    </w:lvl>
    <w:lvl w:ilvl="3" w:tplc="451484FA">
      <w:start w:val="1"/>
      <w:numFmt w:val="bullet"/>
      <w:lvlText w:val=""/>
      <w:lvlJc w:val="left"/>
      <w:pPr>
        <w:ind w:left="2880" w:hanging="360"/>
      </w:pPr>
      <w:rPr>
        <w:rFonts w:ascii="Symbol" w:hAnsi="Symbol" w:hint="default"/>
      </w:rPr>
    </w:lvl>
    <w:lvl w:ilvl="4" w:tplc="DB50128C">
      <w:start w:val="1"/>
      <w:numFmt w:val="bullet"/>
      <w:lvlText w:val="o"/>
      <w:lvlJc w:val="left"/>
      <w:pPr>
        <w:ind w:left="3600" w:hanging="360"/>
      </w:pPr>
      <w:rPr>
        <w:rFonts w:ascii="Courier New" w:hAnsi="Courier New" w:hint="default"/>
      </w:rPr>
    </w:lvl>
    <w:lvl w:ilvl="5" w:tplc="F1DACD40">
      <w:start w:val="1"/>
      <w:numFmt w:val="bullet"/>
      <w:lvlText w:val=""/>
      <w:lvlJc w:val="left"/>
      <w:pPr>
        <w:ind w:left="4320" w:hanging="360"/>
      </w:pPr>
      <w:rPr>
        <w:rFonts w:ascii="Wingdings" w:hAnsi="Wingdings" w:hint="default"/>
      </w:rPr>
    </w:lvl>
    <w:lvl w:ilvl="6" w:tplc="9D52D848">
      <w:start w:val="1"/>
      <w:numFmt w:val="bullet"/>
      <w:lvlText w:val=""/>
      <w:lvlJc w:val="left"/>
      <w:pPr>
        <w:ind w:left="5040" w:hanging="360"/>
      </w:pPr>
      <w:rPr>
        <w:rFonts w:ascii="Symbol" w:hAnsi="Symbol" w:hint="default"/>
      </w:rPr>
    </w:lvl>
    <w:lvl w:ilvl="7" w:tplc="C8944E58">
      <w:start w:val="1"/>
      <w:numFmt w:val="bullet"/>
      <w:lvlText w:val="o"/>
      <w:lvlJc w:val="left"/>
      <w:pPr>
        <w:ind w:left="5760" w:hanging="360"/>
      </w:pPr>
      <w:rPr>
        <w:rFonts w:ascii="Courier New" w:hAnsi="Courier New" w:hint="default"/>
      </w:rPr>
    </w:lvl>
    <w:lvl w:ilvl="8" w:tplc="01DE1502">
      <w:start w:val="1"/>
      <w:numFmt w:val="bullet"/>
      <w:lvlText w:val=""/>
      <w:lvlJc w:val="left"/>
      <w:pPr>
        <w:ind w:left="6480" w:hanging="360"/>
      </w:pPr>
      <w:rPr>
        <w:rFonts w:ascii="Wingdings" w:hAnsi="Wingdings" w:hint="default"/>
      </w:rPr>
    </w:lvl>
  </w:abstractNum>
  <w:abstractNum w:abstractNumId="1" w15:restartNumberingAfterBreak="0">
    <w:nsid w:val="0F68371A"/>
    <w:multiLevelType w:val="hybridMultilevel"/>
    <w:tmpl w:val="4F66950E"/>
    <w:lvl w:ilvl="0" w:tplc="A20E6BA6">
      <w:start w:val="1"/>
      <w:numFmt w:val="bullet"/>
      <w:lvlText w:val="-"/>
      <w:lvlJc w:val="left"/>
      <w:pPr>
        <w:tabs>
          <w:tab w:val="num" w:pos="720"/>
        </w:tabs>
        <w:ind w:left="720" w:hanging="360"/>
      </w:pPr>
      <w:rPr>
        <w:rFonts w:ascii="Aptos" w:hAnsi="Aptos" w:hint="default"/>
      </w:rPr>
    </w:lvl>
    <w:lvl w:ilvl="1" w:tplc="190E78CE" w:tentative="1">
      <w:start w:val="1"/>
      <w:numFmt w:val="bullet"/>
      <w:lvlText w:val="-"/>
      <w:lvlJc w:val="left"/>
      <w:pPr>
        <w:tabs>
          <w:tab w:val="num" w:pos="1440"/>
        </w:tabs>
        <w:ind w:left="1440" w:hanging="360"/>
      </w:pPr>
      <w:rPr>
        <w:rFonts w:ascii="Aptos" w:hAnsi="Aptos" w:hint="default"/>
      </w:rPr>
    </w:lvl>
    <w:lvl w:ilvl="2" w:tplc="D7B24A6E" w:tentative="1">
      <w:start w:val="1"/>
      <w:numFmt w:val="bullet"/>
      <w:lvlText w:val="-"/>
      <w:lvlJc w:val="left"/>
      <w:pPr>
        <w:tabs>
          <w:tab w:val="num" w:pos="2160"/>
        </w:tabs>
        <w:ind w:left="2160" w:hanging="360"/>
      </w:pPr>
      <w:rPr>
        <w:rFonts w:ascii="Aptos" w:hAnsi="Aptos" w:hint="default"/>
      </w:rPr>
    </w:lvl>
    <w:lvl w:ilvl="3" w:tplc="B20CE5BA" w:tentative="1">
      <w:start w:val="1"/>
      <w:numFmt w:val="bullet"/>
      <w:lvlText w:val="-"/>
      <w:lvlJc w:val="left"/>
      <w:pPr>
        <w:tabs>
          <w:tab w:val="num" w:pos="2880"/>
        </w:tabs>
        <w:ind w:left="2880" w:hanging="360"/>
      </w:pPr>
      <w:rPr>
        <w:rFonts w:ascii="Aptos" w:hAnsi="Aptos" w:hint="default"/>
      </w:rPr>
    </w:lvl>
    <w:lvl w:ilvl="4" w:tplc="B6406C64" w:tentative="1">
      <w:start w:val="1"/>
      <w:numFmt w:val="bullet"/>
      <w:lvlText w:val="-"/>
      <w:lvlJc w:val="left"/>
      <w:pPr>
        <w:tabs>
          <w:tab w:val="num" w:pos="3600"/>
        </w:tabs>
        <w:ind w:left="3600" w:hanging="360"/>
      </w:pPr>
      <w:rPr>
        <w:rFonts w:ascii="Aptos" w:hAnsi="Aptos" w:hint="default"/>
      </w:rPr>
    </w:lvl>
    <w:lvl w:ilvl="5" w:tplc="D1CAAAB0" w:tentative="1">
      <w:start w:val="1"/>
      <w:numFmt w:val="bullet"/>
      <w:lvlText w:val="-"/>
      <w:lvlJc w:val="left"/>
      <w:pPr>
        <w:tabs>
          <w:tab w:val="num" w:pos="4320"/>
        </w:tabs>
        <w:ind w:left="4320" w:hanging="360"/>
      </w:pPr>
      <w:rPr>
        <w:rFonts w:ascii="Aptos" w:hAnsi="Aptos" w:hint="default"/>
      </w:rPr>
    </w:lvl>
    <w:lvl w:ilvl="6" w:tplc="BB02AF5C" w:tentative="1">
      <w:start w:val="1"/>
      <w:numFmt w:val="bullet"/>
      <w:lvlText w:val="-"/>
      <w:lvlJc w:val="left"/>
      <w:pPr>
        <w:tabs>
          <w:tab w:val="num" w:pos="5040"/>
        </w:tabs>
        <w:ind w:left="5040" w:hanging="360"/>
      </w:pPr>
      <w:rPr>
        <w:rFonts w:ascii="Aptos" w:hAnsi="Aptos" w:hint="default"/>
      </w:rPr>
    </w:lvl>
    <w:lvl w:ilvl="7" w:tplc="016016F8" w:tentative="1">
      <w:start w:val="1"/>
      <w:numFmt w:val="bullet"/>
      <w:lvlText w:val="-"/>
      <w:lvlJc w:val="left"/>
      <w:pPr>
        <w:tabs>
          <w:tab w:val="num" w:pos="5760"/>
        </w:tabs>
        <w:ind w:left="5760" w:hanging="360"/>
      </w:pPr>
      <w:rPr>
        <w:rFonts w:ascii="Aptos" w:hAnsi="Aptos" w:hint="default"/>
      </w:rPr>
    </w:lvl>
    <w:lvl w:ilvl="8" w:tplc="8C144742" w:tentative="1">
      <w:start w:val="1"/>
      <w:numFmt w:val="bullet"/>
      <w:lvlText w:val="-"/>
      <w:lvlJc w:val="left"/>
      <w:pPr>
        <w:tabs>
          <w:tab w:val="num" w:pos="6480"/>
        </w:tabs>
        <w:ind w:left="6480" w:hanging="360"/>
      </w:pPr>
      <w:rPr>
        <w:rFonts w:ascii="Aptos" w:hAnsi="Aptos" w:hint="default"/>
      </w:rPr>
    </w:lvl>
  </w:abstractNum>
  <w:abstractNum w:abstractNumId="2" w15:restartNumberingAfterBreak="0">
    <w:nsid w:val="10CA5584"/>
    <w:multiLevelType w:val="multilevel"/>
    <w:tmpl w:val="6ADABE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iCs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991D79"/>
    <w:multiLevelType w:val="hybridMultilevel"/>
    <w:tmpl w:val="B6EC32AC"/>
    <w:lvl w:ilvl="0" w:tplc="6C9C048E">
      <w:start w:val="1"/>
      <w:numFmt w:val="bullet"/>
      <w:lvlText w:val="-"/>
      <w:lvlJc w:val="left"/>
      <w:pPr>
        <w:ind w:left="720" w:hanging="360"/>
      </w:pPr>
      <w:rPr>
        <w:rFonts w:ascii="Aptos" w:hAnsi="Aptos" w:hint="default"/>
      </w:rPr>
    </w:lvl>
    <w:lvl w:ilvl="1" w:tplc="F35EF5A8">
      <w:start w:val="1"/>
      <w:numFmt w:val="bullet"/>
      <w:lvlText w:val="o"/>
      <w:lvlJc w:val="left"/>
      <w:pPr>
        <w:ind w:left="1440" w:hanging="360"/>
      </w:pPr>
      <w:rPr>
        <w:rFonts w:ascii="Courier New" w:hAnsi="Courier New" w:hint="default"/>
      </w:rPr>
    </w:lvl>
    <w:lvl w:ilvl="2" w:tplc="E5662F54">
      <w:start w:val="1"/>
      <w:numFmt w:val="bullet"/>
      <w:lvlText w:val=""/>
      <w:lvlJc w:val="left"/>
      <w:pPr>
        <w:ind w:left="2160" w:hanging="360"/>
      </w:pPr>
      <w:rPr>
        <w:rFonts w:ascii="Wingdings" w:hAnsi="Wingdings" w:hint="default"/>
      </w:rPr>
    </w:lvl>
    <w:lvl w:ilvl="3" w:tplc="3A6E1608">
      <w:start w:val="1"/>
      <w:numFmt w:val="bullet"/>
      <w:lvlText w:val=""/>
      <w:lvlJc w:val="left"/>
      <w:pPr>
        <w:ind w:left="2880" w:hanging="360"/>
      </w:pPr>
      <w:rPr>
        <w:rFonts w:ascii="Symbol" w:hAnsi="Symbol" w:hint="default"/>
      </w:rPr>
    </w:lvl>
    <w:lvl w:ilvl="4" w:tplc="9126D9B6">
      <w:start w:val="1"/>
      <w:numFmt w:val="bullet"/>
      <w:lvlText w:val="o"/>
      <w:lvlJc w:val="left"/>
      <w:pPr>
        <w:ind w:left="3600" w:hanging="360"/>
      </w:pPr>
      <w:rPr>
        <w:rFonts w:ascii="Courier New" w:hAnsi="Courier New" w:hint="default"/>
      </w:rPr>
    </w:lvl>
    <w:lvl w:ilvl="5" w:tplc="C7D6F11A">
      <w:start w:val="1"/>
      <w:numFmt w:val="bullet"/>
      <w:lvlText w:val=""/>
      <w:lvlJc w:val="left"/>
      <w:pPr>
        <w:ind w:left="4320" w:hanging="360"/>
      </w:pPr>
      <w:rPr>
        <w:rFonts w:ascii="Wingdings" w:hAnsi="Wingdings" w:hint="default"/>
      </w:rPr>
    </w:lvl>
    <w:lvl w:ilvl="6" w:tplc="F1DE80F4">
      <w:start w:val="1"/>
      <w:numFmt w:val="bullet"/>
      <w:lvlText w:val=""/>
      <w:lvlJc w:val="left"/>
      <w:pPr>
        <w:ind w:left="5040" w:hanging="360"/>
      </w:pPr>
      <w:rPr>
        <w:rFonts w:ascii="Symbol" w:hAnsi="Symbol" w:hint="default"/>
      </w:rPr>
    </w:lvl>
    <w:lvl w:ilvl="7" w:tplc="83C0C4AA">
      <w:start w:val="1"/>
      <w:numFmt w:val="bullet"/>
      <w:lvlText w:val="o"/>
      <w:lvlJc w:val="left"/>
      <w:pPr>
        <w:ind w:left="5760" w:hanging="360"/>
      </w:pPr>
      <w:rPr>
        <w:rFonts w:ascii="Courier New" w:hAnsi="Courier New" w:hint="default"/>
      </w:rPr>
    </w:lvl>
    <w:lvl w:ilvl="8" w:tplc="3F843F66">
      <w:start w:val="1"/>
      <w:numFmt w:val="bullet"/>
      <w:lvlText w:val=""/>
      <w:lvlJc w:val="left"/>
      <w:pPr>
        <w:ind w:left="6480" w:hanging="360"/>
      </w:pPr>
      <w:rPr>
        <w:rFonts w:ascii="Wingdings" w:hAnsi="Wingdings" w:hint="default"/>
      </w:rPr>
    </w:lvl>
  </w:abstractNum>
  <w:abstractNum w:abstractNumId="4" w15:restartNumberingAfterBreak="0">
    <w:nsid w:val="1CD25A5F"/>
    <w:multiLevelType w:val="hybridMultilevel"/>
    <w:tmpl w:val="79A67498"/>
    <w:lvl w:ilvl="0" w:tplc="1066988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395B336"/>
    <w:multiLevelType w:val="hybridMultilevel"/>
    <w:tmpl w:val="9A6C8D38"/>
    <w:lvl w:ilvl="0" w:tplc="0D84E65E">
      <w:start w:val="1"/>
      <w:numFmt w:val="bullet"/>
      <w:lvlText w:val=""/>
      <w:lvlJc w:val="left"/>
      <w:pPr>
        <w:ind w:left="720" w:hanging="360"/>
      </w:pPr>
      <w:rPr>
        <w:rFonts w:ascii="Symbol" w:hAnsi="Symbol" w:hint="default"/>
      </w:rPr>
    </w:lvl>
    <w:lvl w:ilvl="1" w:tplc="41D62A44">
      <w:start w:val="1"/>
      <w:numFmt w:val="decimal"/>
      <w:lvlText w:val="%2)"/>
      <w:lvlJc w:val="left"/>
      <w:pPr>
        <w:ind w:left="1440" w:hanging="360"/>
      </w:pPr>
    </w:lvl>
    <w:lvl w:ilvl="2" w:tplc="F200A806">
      <w:start w:val="1"/>
      <w:numFmt w:val="bullet"/>
      <w:lvlText w:val=""/>
      <w:lvlJc w:val="left"/>
      <w:pPr>
        <w:ind w:left="2160" w:hanging="180"/>
      </w:pPr>
      <w:rPr>
        <w:rFonts w:ascii="Symbol" w:hAnsi="Symbol" w:hint="default"/>
      </w:rPr>
    </w:lvl>
    <w:lvl w:ilvl="3" w:tplc="8A50B152">
      <w:start w:val="1"/>
      <w:numFmt w:val="decimal"/>
      <w:lvlText w:val="%4."/>
      <w:lvlJc w:val="left"/>
      <w:pPr>
        <w:ind w:left="2880" w:hanging="360"/>
      </w:pPr>
    </w:lvl>
    <w:lvl w:ilvl="4" w:tplc="2FECC700">
      <w:start w:val="1"/>
      <w:numFmt w:val="lowerLetter"/>
      <w:lvlText w:val="%5."/>
      <w:lvlJc w:val="left"/>
      <w:pPr>
        <w:ind w:left="3600" w:hanging="360"/>
      </w:pPr>
    </w:lvl>
    <w:lvl w:ilvl="5" w:tplc="DB0E4144">
      <w:start w:val="1"/>
      <w:numFmt w:val="lowerRoman"/>
      <w:lvlText w:val="%6."/>
      <w:lvlJc w:val="right"/>
      <w:pPr>
        <w:ind w:left="4320" w:hanging="180"/>
      </w:pPr>
    </w:lvl>
    <w:lvl w:ilvl="6" w:tplc="525AD4E2">
      <w:start w:val="1"/>
      <w:numFmt w:val="decimal"/>
      <w:lvlText w:val="%7."/>
      <w:lvlJc w:val="left"/>
      <w:pPr>
        <w:ind w:left="5040" w:hanging="360"/>
      </w:pPr>
    </w:lvl>
    <w:lvl w:ilvl="7" w:tplc="62F483F6">
      <w:start w:val="1"/>
      <w:numFmt w:val="lowerLetter"/>
      <w:lvlText w:val="%8."/>
      <w:lvlJc w:val="left"/>
      <w:pPr>
        <w:ind w:left="5760" w:hanging="360"/>
      </w:pPr>
    </w:lvl>
    <w:lvl w:ilvl="8" w:tplc="E3CCAB7A">
      <w:start w:val="1"/>
      <w:numFmt w:val="lowerRoman"/>
      <w:lvlText w:val="%9."/>
      <w:lvlJc w:val="right"/>
      <w:pPr>
        <w:ind w:left="6480" w:hanging="180"/>
      </w:pPr>
    </w:lvl>
  </w:abstractNum>
  <w:abstractNum w:abstractNumId="6" w15:restartNumberingAfterBreak="0">
    <w:nsid w:val="24E34959"/>
    <w:multiLevelType w:val="hybridMultilevel"/>
    <w:tmpl w:val="CB8650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8ED7247"/>
    <w:multiLevelType w:val="hybridMultilevel"/>
    <w:tmpl w:val="8ABA9D74"/>
    <w:lvl w:ilvl="0" w:tplc="F1D64A6E">
      <w:start w:val="1"/>
      <w:numFmt w:val="bullet"/>
      <w:lvlText w:val="-"/>
      <w:lvlJc w:val="left"/>
      <w:pPr>
        <w:ind w:left="720" w:hanging="360"/>
      </w:pPr>
      <w:rPr>
        <w:rFonts w:ascii="Aptos" w:hAnsi="Aptos" w:hint="default"/>
      </w:rPr>
    </w:lvl>
    <w:lvl w:ilvl="1" w:tplc="F208B640">
      <w:start w:val="1"/>
      <w:numFmt w:val="bullet"/>
      <w:lvlText w:val="o"/>
      <w:lvlJc w:val="left"/>
      <w:pPr>
        <w:ind w:left="1440" w:hanging="360"/>
      </w:pPr>
      <w:rPr>
        <w:rFonts w:ascii="Courier New" w:hAnsi="Courier New" w:hint="default"/>
      </w:rPr>
    </w:lvl>
    <w:lvl w:ilvl="2" w:tplc="5394CA20">
      <w:start w:val="1"/>
      <w:numFmt w:val="bullet"/>
      <w:lvlText w:val=""/>
      <w:lvlJc w:val="left"/>
      <w:pPr>
        <w:ind w:left="2160" w:hanging="360"/>
      </w:pPr>
      <w:rPr>
        <w:rFonts w:ascii="Wingdings" w:hAnsi="Wingdings" w:hint="default"/>
      </w:rPr>
    </w:lvl>
    <w:lvl w:ilvl="3" w:tplc="E516FB7C">
      <w:start w:val="1"/>
      <w:numFmt w:val="bullet"/>
      <w:lvlText w:val=""/>
      <w:lvlJc w:val="left"/>
      <w:pPr>
        <w:ind w:left="2880" w:hanging="360"/>
      </w:pPr>
      <w:rPr>
        <w:rFonts w:ascii="Symbol" w:hAnsi="Symbol" w:hint="default"/>
      </w:rPr>
    </w:lvl>
    <w:lvl w:ilvl="4" w:tplc="7CDC84CE">
      <w:start w:val="1"/>
      <w:numFmt w:val="bullet"/>
      <w:lvlText w:val="o"/>
      <w:lvlJc w:val="left"/>
      <w:pPr>
        <w:ind w:left="3600" w:hanging="360"/>
      </w:pPr>
      <w:rPr>
        <w:rFonts w:ascii="Courier New" w:hAnsi="Courier New" w:hint="default"/>
      </w:rPr>
    </w:lvl>
    <w:lvl w:ilvl="5" w:tplc="468E385E">
      <w:start w:val="1"/>
      <w:numFmt w:val="bullet"/>
      <w:lvlText w:val=""/>
      <w:lvlJc w:val="left"/>
      <w:pPr>
        <w:ind w:left="4320" w:hanging="360"/>
      </w:pPr>
      <w:rPr>
        <w:rFonts w:ascii="Wingdings" w:hAnsi="Wingdings" w:hint="default"/>
      </w:rPr>
    </w:lvl>
    <w:lvl w:ilvl="6" w:tplc="D156891A">
      <w:start w:val="1"/>
      <w:numFmt w:val="bullet"/>
      <w:lvlText w:val=""/>
      <w:lvlJc w:val="left"/>
      <w:pPr>
        <w:ind w:left="5040" w:hanging="360"/>
      </w:pPr>
      <w:rPr>
        <w:rFonts w:ascii="Symbol" w:hAnsi="Symbol" w:hint="default"/>
      </w:rPr>
    </w:lvl>
    <w:lvl w:ilvl="7" w:tplc="4660474E">
      <w:start w:val="1"/>
      <w:numFmt w:val="bullet"/>
      <w:lvlText w:val="o"/>
      <w:lvlJc w:val="left"/>
      <w:pPr>
        <w:ind w:left="5760" w:hanging="360"/>
      </w:pPr>
      <w:rPr>
        <w:rFonts w:ascii="Courier New" w:hAnsi="Courier New" w:hint="default"/>
      </w:rPr>
    </w:lvl>
    <w:lvl w:ilvl="8" w:tplc="E4A8C636">
      <w:start w:val="1"/>
      <w:numFmt w:val="bullet"/>
      <w:lvlText w:val=""/>
      <w:lvlJc w:val="left"/>
      <w:pPr>
        <w:ind w:left="6480" w:hanging="360"/>
      </w:pPr>
      <w:rPr>
        <w:rFonts w:ascii="Wingdings" w:hAnsi="Wingdings" w:hint="default"/>
      </w:rPr>
    </w:lvl>
  </w:abstractNum>
  <w:abstractNum w:abstractNumId="8" w15:restartNumberingAfterBreak="0">
    <w:nsid w:val="3BC061BF"/>
    <w:multiLevelType w:val="hybridMultilevel"/>
    <w:tmpl w:val="4C885C6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EE22309"/>
    <w:multiLevelType w:val="hybridMultilevel"/>
    <w:tmpl w:val="AD66D820"/>
    <w:lvl w:ilvl="0" w:tplc="FA68EE5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547165"/>
    <w:multiLevelType w:val="hybridMultilevel"/>
    <w:tmpl w:val="BD7E14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528EAB2"/>
    <w:multiLevelType w:val="hybridMultilevel"/>
    <w:tmpl w:val="ADDC7C6A"/>
    <w:lvl w:ilvl="0" w:tplc="9618AD0A">
      <w:start w:val="1"/>
      <w:numFmt w:val="bullet"/>
      <w:lvlText w:val="-"/>
      <w:lvlJc w:val="left"/>
      <w:pPr>
        <w:ind w:left="720" w:hanging="360"/>
      </w:pPr>
      <w:rPr>
        <w:rFonts w:ascii="Aptos" w:hAnsi="Aptos" w:hint="default"/>
      </w:rPr>
    </w:lvl>
    <w:lvl w:ilvl="1" w:tplc="EFCC26E8">
      <w:start w:val="1"/>
      <w:numFmt w:val="bullet"/>
      <w:lvlText w:val="o"/>
      <w:lvlJc w:val="left"/>
      <w:pPr>
        <w:ind w:left="1440" w:hanging="360"/>
      </w:pPr>
      <w:rPr>
        <w:rFonts w:ascii="Courier New" w:hAnsi="Courier New" w:hint="default"/>
      </w:rPr>
    </w:lvl>
    <w:lvl w:ilvl="2" w:tplc="1B32BB1C">
      <w:start w:val="1"/>
      <w:numFmt w:val="bullet"/>
      <w:lvlText w:val=""/>
      <w:lvlJc w:val="left"/>
      <w:pPr>
        <w:ind w:left="2160" w:hanging="360"/>
      </w:pPr>
      <w:rPr>
        <w:rFonts w:ascii="Wingdings" w:hAnsi="Wingdings" w:hint="default"/>
      </w:rPr>
    </w:lvl>
    <w:lvl w:ilvl="3" w:tplc="951E43DC">
      <w:start w:val="1"/>
      <w:numFmt w:val="bullet"/>
      <w:lvlText w:val=""/>
      <w:lvlJc w:val="left"/>
      <w:pPr>
        <w:ind w:left="2880" w:hanging="360"/>
      </w:pPr>
      <w:rPr>
        <w:rFonts w:ascii="Symbol" w:hAnsi="Symbol" w:hint="default"/>
      </w:rPr>
    </w:lvl>
    <w:lvl w:ilvl="4" w:tplc="CB064BD2">
      <w:start w:val="1"/>
      <w:numFmt w:val="bullet"/>
      <w:lvlText w:val="o"/>
      <w:lvlJc w:val="left"/>
      <w:pPr>
        <w:ind w:left="3600" w:hanging="360"/>
      </w:pPr>
      <w:rPr>
        <w:rFonts w:ascii="Courier New" w:hAnsi="Courier New" w:hint="default"/>
      </w:rPr>
    </w:lvl>
    <w:lvl w:ilvl="5" w:tplc="20443732">
      <w:start w:val="1"/>
      <w:numFmt w:val="bullet"/>
      <w:lvlText w:val=""/>
      <w:lvlJc w:val="left"/>
      <w:pPr>
        <w:ind w:left="4320" w:hanging="360"/>
      </w:pPr>
      <w:rPr>
        <w:rFonts w:ascii="Wingdings" w:hAnsi="Wingdings" w:hint="default"/>
      </w:rPr>
    </w:lvl>
    <w:lvl w:ilvl="6" w:tplc="03182234">
      <w:start w:val="1"/>
      <w:numFmt w:val="bullet"/>
      <w:lvlText w:val=""/>
      <w:lvlJc w:val="left"/>
      <w:pPr>
        <w:ind w:left="5040" w:hanging="360"/>
      </w:pPr>
      <w:rPr>
        <w:rFonts w:ascii="Symbol" w:hAnsi="Symbol" w:hint="default"/>
      </w:rPr>
    </w:lvl>
    <w:lvl w:ilvl="7" w:tplc="73E8E4A2">
      <w:start w:val="1"/>
      <w:numFmt w:val="bullet"/>
      <w:lvlText w:val="o"/>
      <w:lvlJc w:val="left"/>
      <w:pPr>
        <w:ind w:left="5760" w:hanging="360"/>
      </w:pPr>
      <w:rPr>
        <w:rFonts w:ascii="Courier New" w:hAnsi="Courier New" w:hint="default"/>
      </w:rPr>
    </w:lvl>
    <w:lvl w:ilvl="8" w:tplc="BD8E8028">
      <w:start w:val="1"/>
      <w:numFmt w:val="bullet"/>
      <w:lvlText w:val=""/>
      <w:lvlJc w:val="left"/>
      <w:pPr>
        <w:ind w:left="6480" w:hanging="360"/>
      </w:pPr>
      <w:rPr>
        <w:rFonts w:ascii="Wingdings" w:hAnsi="Wingdings" w:hint="default"/>
      </w:rPr>
    </w:lvl>
  </w:abstractNum>
  <w:abstractNum w:abstractNumId="12" w15:restartNumberingAfterBreak="0">
    <w:nsid w:val="5A1F8CFD"/>
    <w:multiLevelType w:val="hybridMultilevel"/>
    <w:tmpl w:val="774C296C"/>
    <w:lvl w:ilvl="0" w:tplc="70329794">
      <w:start w:val="1"/>
      <w:numFmt w:val="bullet"/>
      <w:lvlText w:val="-"/>
      <w:lvlJc w:val="left"/>
      <w:pPr>
        <w:ind w:left="720" w:hanging="360"/>
      </w:pPr>
      <w:rPr>
        <w:rFonts w:ascii="Aptos" w:hAnsi="Aptos" w:hint="default"/>
      </w:rPr>
    </w:lvl>
    <w:lvl w:ilvl="1" w:tplc="A1769656">
      <w:start w:val="1"/>
      <w:numFmt w:val="bullet"/>
      <w:lvlText w:val="o"/>
      <w:lvlJc w:val="left"/>
      <w:pPr>
        <w:ind w:left="1440" w:hanging="360"/>
      </w:pPr>
      <w:rPr>
        <w:rFonts w:ascii="Courier New" w:hAnsi="Courier New" w:hint="default"/>
      </w:rPr>
    </w:lvl>
    <w:lvl w:ilvl="2" w:tplc="ED8E193E">
      <w:start w:val="1"/>
      <w:numFmt w:val="bullet"/>
      <w:lvlText w:val=""/>
      <w:lvlJc w:val="left"/>
      <w:pPr>
        <w:ind w:left="2160" w:hanging="360"/>
      </w:pPr>
      <w:rPr>
        <w:rFonts w:ascii="Wingdings" w:hAnsi="Wingdings" w:hint="default"/>
      </w:rPr>
    </w:lvl>
    <w:lvl w:ilvl="3" w:tplc="D458C7A4">
      <w:start w:val="1"/>
      <w:numFmt w:val="bullet"/>
      <w:lvlText w:val=""/>
      <w:lvlJc w:val="left"/>
      <w:pPr>
        <w:ind w:left="2880" w:hanging="360"/>
      </w:pPr>
      <w:rPr>
        <w:rFonts w:ascii="Symbol" w:hAnsi="Symbol" w:hint="default"/>
      </w:rPr>
    </w:lvl>
    <w:lvl w:ilvl="4" w:tplc="7214E3B4">
      <w:start w:val="1"/>
      <w:numFmt w:val="bullet"/>
      <w:lvlText w:val="o"/>
      <w:lvlJc w:val="left"/>
      <w:pPr>
        <w:ind w:left="3600" w:hanging="360"/>
      </w:pPr>
      <w:rPr>
        <w:rFonts w:ascii="Courier New" w:hAnsi="Courier New" w:hint="default"/>
      </w:rPr>
    </w:lvl>
    <w:lvl w:ilvl="5" w:tplc="1D84D602">
      <w:start w:val="1"/>
      <w:numFmt w:val="bullet"/>
      <w:lvlText w:val=""/>
      <w:lvlJc w:val="left"/>
      <w:pPr>
        <w:ind w:left="4320" w:hanging="360"/>
      </w:pPr>
      <w:rPr>
        <w:rFonts w:ascii="Wingdings" w:hAnsi="Wingdings" w:hint="default"/>
      </w:rPr>
    </w:lvl>
    <w:lvl w:ilvl="6" w:tplc="CAC80B90">
      <w:start w:val="1"/>
      <w:numFmt w:val="bullet"/>
      <w:lvlText w:val=""/>
      <w:lvlJc w:val="left"/>
      <w:pPr>
        <w:ind w:left="5040" w:hanging="360"/>
      </w:pPr>
      <w:rPr>
        <w:rFonts w:ascii="Symbol" w:hAnsi="Symbol" w:hint="default"/>
      </w:rPr>
    </w:lvl>
    <w:lvl w:ilvl="7" w:tplc="0AAA8972">
      <w:start w:val="1"/>
      <w:numFmt w:val="bullet"/>
      <w:lvlText w:val="o"/>
      <w:lvlJc w:val="left"/>
      <w:pPr>
        <w:ind w:left="5760" w:hanging="360"/>
      </w:pPr>
      <w:rPr>
        <w:rFonts w:ascii="Courier New" w:hAnsi="Courier New" w:hint="default"/>
      </w:rPr>
    </w:lvl>
    <w:lvl w:ilvl="8" w:tplc="5B46FA1A">
      <w:start w:val="1"/>
      <w:numFmt w:val="bullet"/>
      <w:lvlText w:val=""/>
      <w:lvlJc w:val="left"/>
      <w:pPr>
        <w:ind w:left="6480" w:hanging="360"/>
      </w:pPr>
      <w:rPr>
        <w:rFonts w:ascii="Wingdings" w:hAnsi="Wingdings" w:hint="default"/>
      </w:rPr>
    </w:lvl>
  </w:abstractNum>
  <w:abstractNum w:abstractNumId="13" w15:restartNumberingAfterBreak="0">
    <w:nsid w:val="60770154"/>
    <w:multiLevelType w:val="hybridMultilevel"/>
    <w:tmpl w:val="5EBEF4F0"/>
    <w:lvl w:ilvl="0" w:tplc="1D20A392">
      <w:start w:val="1"/>
      <w:numFmt w:val="bullet"/>
      <w:lvlText w:val="-"/>
      <w:lvlJc w:val="left"/>
      <w:pPr>
        <w:tabs>
          <w:tab w:val="num" w:pos="720"/>
        </w:tabs>
        <w:ind w:left="720" w:hanging="360"/>
      </w:pPr>
      <w:rPr>
        <w:rFonts w:ascii="Aptos" w:hAnsi="Aptos" w:hint="default"/>
      </w:rPr>
    </w:lvl>
    <w:lvl w:ilvl="1" w:tplc="91AC0400" w:tentative="1">
      <w:start w:val="1"/>
      <w:numFmt w:val="bullet"/>
      <w:lvlText w:val="-"/>
      <w:lvlJc w:val="left"/>
      <w:pPr>
        <w:tabs>
          <w:tab w:val="num" w:pos="1440"/>
        </w:tabs>
        <w:ind w:left="1440" w:hanging="360"/>
      </w:pPr>
      <w:rPr>
        <w:rFonts w:ascii="Aptos" w:hAnsi="Aptos" w:hint="default"/>
      </w:rPr>
    </w:lvl>
    <w:lvl w:ilvl="2" w:tplc="CCA69D2E" w:tentative="1">
      <w:start w:val="1"/>
      <w:numFmt w:val="bullet"/>
      <w:lvlText w:val="-"/>
      <w:lvlJc w:val="left"/>
      <w:pPr>
        <w:tabs>
          <w:tab w:val="num" w:pos="2160"/>
        </w:tabs>
        <w:ind w:left="2160" w:hanging="360"/>
      </w:pPr>
      <w:rPr>
        <w:rFonts w:ascii="Aptos" w:hAnsi="Aptos" w:hint="default"/>
      </w:rPr>
    </w:lvl>
    <w:lvl w:ilvl="3" w:tplc="6F580B96" w:tentative="1">
      <w:start w:val="1"/>
      <w:numFmt w:val="bullet"/>
      <w:lvlText w:val="-"/>
      <w:lvlJc w:val="left"/>
      <w:pPr>
        <w:tabs>
          <w:tab w:val="num" w:pos="2880"/>
        </w:tabs>
        <w:ind w:left="2880" w:hanging="360"/>
      </w:pPr>
      <w:rPr>
        <w:rFonts w:ascii="Aptos" w:hAnsi="Aptos" w:hint="default"/>
      </w:rPr>
    </w:lvl>
    <w:lvl w:ilvl="4" w:tplc="C93461FC" w:tentative="1">
      <w:start w:val="1"/>
      <w:numFmt w:val="bullet"/>
      <w:lvlText w:val="-"/>
      <w:lvlJc w:val="left"/>
      <w:pPr>
        <w:tabs>
          <w:tab w:val="num" w:pos="3600"/>
        </w:tabs>
        <w:ind w:left="3600" w:hanging="360"/>
      </w:pPr>
      <w:rPr>
        <w:rFonts w:ascii="Aptos" w:hAnsi="Aptos" w:hint="default"/>
      </w:rPr>
    </w:lvl>
    <w:lvl w:ilvl="5" w:tplc="81E24D4C" w:tentative="1">
      <w:start w:val="1"/>
      <w:numFmt w:val="bullet"/>
      <w:lvlText w:val="-"/>
      <w:lvlJc w:val="left"/>
      <w:pPr>
        <w:tabs>
          <w:tab w:val="num" w:pos="4320"/>
        </w:tabs>
        <w:ind w:left="4320" w:hanging="360"/>
      </w:pPr>
      <w:rPr>
        <w:rFonts w:ascii="Aptos" w:hAnsi="Aptos" w:hint="default"/>
      </w:rPr>
    </w:lvl>
    <w:lvl w:ilvl="6" w:tplc="EF3EA9D0" w:tentative="1">
      <w:start w:val="1"/>
      <w:numFmt w:val="bullet"/>
      <w:lvlText w:val="-"/>
      <w:lvlJc w:val="left"/>
      <w:pPr>
        <w:tabs>
          <w:tab w:val="num" w:pos="5040"/>
        </w:tabs>
        <w:ind w:left="5040" w:hanging="360"/>
      </w:pPr>
      <w:rPr>
        <w:rFonts w:ascii="Aptos" w:hAnsi="Aptos" w:hint="default"/>
      </w:rPr>
    </w:lvl>
    <w:lvl w:ilvl="7" w:tplc="FF144E62" w:tentative="1">
      <w:start w:val="1"/>
      <w:numFmt w:val="bullet"/>
      <w:lvlText w:val="-"/>
      <w:lvlJc w:val="left"/>
      <w:pPr>
        <w:tabs>
          <w:tab w:val="num" w:pos="5760"/>
        </w:tabs>
        <w:ind w:left="5760" w:hanging="360"/>
      </w:pPr>
      <w:rPr>
        <w:rFonts w:ascii="Aptos" w:hAnsi="Aptos" w:hint="default"/>
      </w:rPr>
    </w:lvl>
    <w:lvl w:ilvl="8" w:tplc="8BEEAFFC" w:tentative="1">
      <w:start w:val="1"/>
      <w:numFmt w:val="bullet"/>
      <w:lvlText w:val="-"/>
      <w:lvlJc w:val="left"/>
      <w:pPr>
        <w:tabs>
          <w:tab w:val="num" w:pos="6480"/>
        </w:tabs>
        <w:ind w:left="6480" w:hanging="360"/>
      </w:pPr>
      <w:rPr>
        <w:rFonts w:ascii="Aptos" w:hAnsi="Aptos" w:hint="default"/>
      </w:rPr>
    </w:lvl>
  </w:abstractNum>
  <w:abstractNum w:abstractNumId="14" w15:restartNumberingAfterBreak="0">
    <w:nsid w:val="73642230"/>
    <w:multiLevelType w:val="hybridMultilevel"/>
    <w:tmpl w:val="6D280DCE"/>
    <w:lvl w:ilvl="0" w:tplc="0AE42C72">
      <w:start w:val="1"/>
      <w:numFmt w:val="bullet"/>
      <w:lvlText w:val="-"/>
      <w:lvlJc w:val="left"/>
      <w:pPr>
        <w:tabs>
          <w:tab w:val="num" w:pos="720"/>
        </w:tabs>
        <w:ind w:left="720" w:hanging="360"/>
      </w:pPr>
      <w:rPr>
        <w:rFonts w:ascii="Aptos" w:hAnsi="Aptos" w:hint="default"/>
      </w:rPr>
    </w:lvl>
    <w:lvl w:ilvl="1" w:tplc="57E43020" w:tentative="1">
      <w:start w:val="1"/>
      <w:numFmt w:val="bullet"/>
      <w:lvlText w:val="-"/>
      <w:lvlJc w:val="left"/>
      <w:pPr>
        <w:tabs>
          <w:tab w:val="num" w:pos="1440"/>
        </w:tabs>
        <w:ind w:left="1440" w:hanging="360"/>
      </w:pPr>
      <w:rPr>
        <w:rFonts w:ascii="Aptos" w:hAnsi="Aptos" w:hint="default"/>
      </w:rPr>
    </w:lvl>
    <w:lvl w:ilvl="2" w:tplc="851866F8" w:tentative="1">
      <w:start w:val="1"/>
      <w:numFmt w:val="bullet"/>
      <w:lvlText w:val="-"/>
      <w:lvlJc w:val="left"/>
      <w:pPr>
        <w:tabs>
          <w:tab w:val="num" w:pos="2160"/>
        </w:tabs>
        <w:ind w:left="2160" w:hanging="360"/>
      </w:pPr>
      <w:rPr>
        <w:rFonts w:ascii="Aptos" w:hAnsi="Aptos" w:hint="default"/>
      </w:rPr>
    </w:lvl>
    <w:lvl w:ilvl="3" w:tplc="9614FC56" w:tentative="1">
      <w:start w:val="1"/>
      <w:numFmt w:val="bullet"/>
      <w:lvlText w:val="-"/>
      <w:lvlJc w:val="left"/>
      <w:pPr>
        <w:tabs>
          <w:tab w:val="num" w:pos="2880"/>
        </w:tabs>
        <w:ind w:left="2880" w:hanging="360"/>
      </w:pPr>
      <w:rPr>
        <w:rFonts w:ascii="Aptos" w:hAnsi="Aptos" w:hint="default"/>
      </w:rPr>
    </w:lvl>
    <w:lvl w:ilvl="4" w:tplc="2CC4AF9E" w:tentative="1">
      <w:start w:val="1"/>
      <w:numFmt w:val="bullet"/>
      <w:lvlText w:val="-"/>
      <w:lvlJc w:val="left"/>
      <w:pPr>
        <w:tabs>
          <w:tab w:val="num" w:pos="3600"/>
        </w:tabs>
        <w:ind w:left="3600" w:hanging="360"/>
      </w:pPr>
      <w:rPr>
        <w:rFonts w:ascii="Aptos" w:hAnsi="Aptos" w:hint="default"/>
      </w:rPr>
    </w:lvl>
    <w:lvl w:ilvl="5" w:tplc="D890CC1C" w:tentative="1">
      <w:start w:val="1"/>
      <w:numFmt w:val="bullet"/>
      <w:lvlText w:val="-"/>
      <w:lvlJc w:val="left"/>
      <w:pPr>
        <w:tabs>
          <w:tab w:val="num" w:pos="4320"/>
        </w:tabs>
        <w:ind w:left="4320" w:hanging="360"/>
      </w:pPr>
      <w:rPr>
        <w:rFonts w:ascii="Aptos" w:hAnsi="Aptos" w:hint="default"/>
      </w:rPr>
    </w:lvl>
    <w:lvl w:ilvl="6" w:tplc="067660FC" w:tentative="1">
      <w:start w:val="1"/>
      <w:numFmt w:val="bullet"/>
      <w:lvlText w:val="-"/>
      <w:lvlJc w:val="left"/>
      <w:pPr>
        <w:tabs>
          <w:tab w:val="num" w:pos="5040"/>
        </w:tabs>
        <w:ind w:left="5040" w:hanging="360"/>
      </w:pPr>
      <w:rPr>
        <w:rFonts w:ascii="Aptos" w:hAnsi="Aptos" w:hint="default"/>
      </w:rPr>
    </w:lvl>
    <w:lvl w:ilvl="7" w:tplc="42E48782" w:tentative="1">
      <w:start w:val="1"/>
      <w:numFmt w:val="bullet"/>
      <w:lvlText w:val="-"/>
      <w:lvlJc w:val="left"/>
      <w:pPr>
        <w:tabs>
          <w:tab w:val="num" w:pos="5760"/>
        </w:tabs>
        <w:ind w:left="5760" w:hanging="360"/>
      </w:pPr>
      <w:rPr>
        <w:rFonts w:ascii="Aptos" w:hAnsi="Aptos" w:hint="default"/>
      </w:rPr>
    </w:lvl>
    <w:lvl w:ilvl="8" w:tplc="0E2E69C0" w:tentative="1">
      <w:start w:val="1"/>
      <w:numFmt w:val="bullet"/>
      <w:lvlText w:val="-"/>
      <w:lvlJc w:val="left"/>
      <w:pPr>
        <w:tabs>
          <w:tab w:val="num" w:pos="6480"/>
        </w:tabs>
        <w:ind w:left="6480" w:hanging="360"/>
      </w:pPr>
      <w:rPr>
        <w:rFonts w:ascii="Aptos" w:hAnsi="Aptos" w:hint="default"/>
      </w:rPr>
    </w:lvl>
  </w:abstractNum>
  <w:abstractNum w:abstractNumId="15" w15:restartNumberingAfterBreak="0">
    <w:nsid w:val="7A1028D0"/>
    <w:multiLevelType w:val="hybridMultilevel"/>
    <w:tmpl w:val="2DC4388A"/>
    <w:lvl w:ilvl="0" w:tplc="8CC86C0E">
      <w:start w:val="1"/>
      <w:numFmt w:val="bullet"/>
      <w:lvlText w:val="-"/>
      <w:lvlJc w:val="left"/>
      <w:pPr>
        <w:ind w:left="720" w:hanging="360"/>
      </w:pPr>
      <w:rPr>
        <w:rFonts w:ascii="Aptos" w:hAnsi="Aptos" w:hint="default"/>
      </w:rPr>
    </w:lvl>
    <w:lvl w:ilvl="1" w:tplc="F788B2C6">
      <w:start w:val="1"/>
      <w:numFmt w:val="bullet"/>
      <w:lvlText w:val="o"/>
      <w:lvlJc w:val="left"/>
      <w:pPr>
        <w:ind w:left="1440" w:hanging="360"/>
      </w:pPr>
      <w:rPr>
        <w:rFonts w:ascii="Courier New" w:hAnsi="Courier New" w:hint="default"/>
      </w:rPr>
    </w:lvl>
    <w:lvl w:ilvl="2" w:tplc="DFF8CD76">
      <w:start w:val="1"/>
      <w:numFmt w:val="bullet"/>
      <w:lvlText w:val=""/>
      <w:lvlJc w:val="left"/>
      <w:pPr>
        <w:ind w:left="2160" w:hanging="360"/>
      </w:pPr>
      <w:rPr>
        <w:rFonts w:ascii="Wingdings" w:hAnsi="Wingdings" w:hint="default"/>
      </w:rPr>
    </w:lvl>
    <w:lvl w:ilvl="3" w:tplc="DAE87476">
      <w:start w:val="1"/>
      <w:numFmt w:val="bullet"/>
      <w:lvlText w:val=""/>
      <w:lvlJc w:val="left"/>
      <w:pPr>
        <w:ind w:left="2880" w:hanging="360"/>
      </w:pPr>
      <w:rPr>
        <w:rFonts w:ascii="Symbol" w:hAnsi="Symbol" w:hint="default"/>
      </w:rPr>
    </w:lvl>
    <w:lvl w:ilvl="4" w:tplc="4C0A8730">
      <w:start w:val="1"/>
      <w:numFmt w:val="bullet"/>
      <w:lvlText w:val="o"/>
      <w:lvlJc w:val="left"/>
      <w:pPr>
        <w:ind w:left="3600" w:hanging="360"/>
      </w:pPr>
      <w:rPr>
        <w:rFonts w:ascii="Courier New" w:hAnsi="Courier New" w:hint="default"/>
      </w:rPr>
    </w:lvl>
    <w:lvl w:ilvl="5" w:tplc="D1B48310">
      <w:start w:val="1"/>
      <w:numFmt w:val="bullet"/>
      <w:lvlText w:val=""/>
      <w:lvlJc w:val="left"/>
      <w:pPr>
        <w:ind w:left="4320" w:hanging="360"/>
      </w:pPr>
      <w:rPr>
        <w:rFonts w:ascii="Wingdings" w:hAnsi="Wingdings" w:hint="default"/>
      </w:rPr>
    </w:lvl>
    <w:lvl w:ilvl="6" w:tplc="8F786314">
      <w:start w:val="1"/>
      <w:numFmt w:val="bullet"/>
      <w:lvlText w:val=""/>
      <w:lvlJc w:val="left"/>
      <w:pPr>
        <w:ind w:left="5040" w:hanging="360"/>
      </w:pPr>
      <w:rPr>
        <w:rFonts w:ascii="Symbol" w:hAnsi="Symbol" w:hint="default"/>
      </w:rPr>
    </w:lvl>
    <w:lvl w:ilvl="7" w:tplc="9364DA74">
      <w:start w:val="1"/>
      <w:numFmt w:val="bullet"/>
      <w:lvlText w:val="o"/>
      <w:lvlJc w:val="left"/>
      <w:pPr>
        <w:ind w:left="5760" w:hanging="360"/>
      </w:pPr>
      <w:rPr>
        <w:rFonts w:ascii="Courier New" w:hAnsi="Courier New" w:hint="default"/>
      </w:rPr>
    </w:lvl>
    <w:lvl w:ilvl="8" w:tplc="264A3E22">
      <w:start w:val="1"/>
      <w:numFmt w:val="bullet"/>
      <w:lvlText w:val=""/>
      <w:lvlJc w:val="left"/>
      <w:pPr>
        <w:ind w:left="6480" w:hanging="360"/>
      </w:pPr>
      <w:rPr>
        <w:rFonts w:ascii="Wingdings" w:hAnsi="Wingdings" w:hint="default"/>
      </w:rPr>
    </w:lvl>
  </w:abstractNum>
  <w:abstractNum w:abstractNumId="16" w15:restartNumberingAfterBreak="0">
    <w:nsid w:val="7F0074C2"/>
    <w:multiLevelType w:val="hybridMultilevel"/>
    <w:tmpl w:val="EBA4A878"/>
    <w:lvl w:ilvl="0" w:tplc="9ACE7FA0">
      <w:start w:val="1"/>
      <w:numFmt w:val="bullet"/>
      <w:lvlText w:val="-"/>
      <w:lvlJc w:val="left"/>
      <w:pPr>
        <w:tabs>
          <w:tab w:val="num" w:pos="720"/>
        </w:tabs>
        <w:ind w:left="720" w:hanging="360"/>
      </w:pPr>
      <w:rPr>
        <w:rFonts w:ascii="Aptos" w:hAnsi="Aptos" w:hint="default"/>
      </w:rPr>
    </w:lvl>
    <w:lvl w:ilvl="1" w:tplc="7B96A4F6" w:tentative="1">
      <w:start w:val="1"/>
      <w:numFmt w:val="bullet"/>
      <w:lvlText w:val="-"/>
      <w:lvlJc w:val="left"/>
      <w:pPr>
        <w:tabs>
          <w:tab w:val="num" w:pos="1440"/>
        </w:tabs>
        <w:ind w:left="1440" w:hanging="360"/>
      </w:pPr>
      <w:rPr>
        <w:rFonts w:ascii="Aptos" w:hAnsi="Aptos" w:hint="default"/>
      </w:rPr>
    </w:lvl>
    <w:lvl w:ilvl="2" w:tplc="F8D2501E" w:tentative="1">
      <w:start w:val="1"/>
      <w:numFmt w:val="bullet"/>
      <w:lvlText w:val="-"/>
      <w:lvlJc w:val="left"/>
      <w:pPr>
        <w:tabs>
          <w:tab w:val="num" w:pos="2160"/>
        </w:tabs>
        <w:ind w:left="2160" w:hanging="360"/>
      </w:pPr>
      <w:rPr>
        <w:rFonts w:ascii="Aptos" w:hAnsi="Aptos" w:hint="default"/>
      </w:rPr>
    </w:lvl>
    <w:lvl w:ilvl="3" w:tplc="0FD48000" w:tentative="1">
      <w:start w:val="1"/>
      <w:numFmt w:val="bullet"/>
      <w:lvlText w:val="-"/>
      <w:lvlJc w:val="left"/>
      <w:pPr>
        <w:tabs>
          <w:tab w:val="num" w:pos="2880"/>
        </w:tabs>
        <w:ind w:left="2880" w:hanging="360"/>
      </w:pPr>
      <w:rPr>
        <w:rFonts w:ascii="Aptos" w:hAnsi="Aptos" w:hint="default"/>
      </w:rPr>
    </w:lvl>
    <w:lvl w:ilvl="4" w:tplc="E63ADCE2" w:tentative="1">
      <w:start w:val="1"/>
      <w:numFmt w:val="bullet"/>
      <w:lvlText w:val="-"/>
      <w:lvlJc w:val="left"/>
      <w:pPr>
        <w:tabs>
          <w:tab w:val="num" w:pos="3600"/>
        </w:tabs>
        <w:ind w:left="3600" w:hanging="360"/>
      </w:pPr>
      <w:rPr>
        <w:rFonts w:ascii="Aptos" w:hAnsi="Aptos" w:hint="default"/>
      </w:rPr>
    </w:lvl>
    <w:lvl w:ilvl="5" w:tplc="4524ED52" w:tentative="1">
      <w:start w:val="1"/>
      <w:numFmt w:val="bullet"/>
      <w:lvlText w:val="-"/>
      <w:lvlJc w:val="left"/>
      <w:pPr>
        <w:tabs>
          <w:tab w:val="num" w:pos="4320"/>
        </w:tabs>
        <w:ind w:left="4320" w:hanging="360"/>
      </w:pPr>
      <w:rPr>
        <w:rFonts w:ascii="Aptos" w:hAnsi="Aptos" w:hint="default"/>
      </w:rPr>
    </w:lvl>
    <w:lvl w:ilvl="6" w:tplc="09487DB0" w:tentative="1">
      <w:start w:val="1"/>
      <w:numFmt w:val="bullet"/>
      <w:lvlText w:val="-"/>
      <w:lvlJc w:val="left"/>
      <w:pPr>
        <w:tabs>
          <w:tab w:val="num" w:pos="5040"/>
        </w:tabs>
        <w:ind w:left="5040" w:hanging="360"/>
      </w:pPr>
      <w:rPr>
        <w:rFonts w:ascii="Aptos" w:hAnsi="Aptos" w:hint="default"/>
      </w:rPr>
    </w:lvl>
    <w:lvl w:ilvl="7" w:tplc="3C700D56" w:tentative="1">
      <w:start w:val="1"/>
      <w:numFmt w:val="bullet"/>
      <w:lvlText w:val="-"/>
      <w:lvlJc w:val="left"/>
      <w:pPr>
        <w:tabs>
          <w:tab w:val="num" w:pos="5760"/>
        </w:tabs>
        <w:ind w:left="5760" w:hanging="360"/>
      </w:pPr>
      <w:rPr>
        <w:rFonts w:ascii="Aptos" w:hAnsi="Aptos" w:hint="default"/>
      </w:rPr>
    </w:lvl>
    <w:lvl w:ilvl="8" w:tplc="03B8177C" w:tentative="1">
      <w:start w:val="1"/>
      <w:numFmt w:val="bullet"/>
      <w:lvlText w:val="-"/>
      <w:lvlJc w:val="left"/>
      <w:pPr>
        <w:tabs>
          <w:tab w:val="num" w:pos="6480"/>
        </w:tabs>
        <w:ind w:left="6480" w:hanging="360"/>
      </w:pPr>
      <w:rPr>
        <w:rFonts w:ascii="Aptos" w:hAnsi="Aptos" w:hint="default"/>
      </w:rPr>
    </w:lvl>
  </w:abstractNum>
  <w:num w:numId="1" w16cid:durableId="561477936">
    <w:abstractNumId w:val="3"/>
  </w:num>
  <w:num w:numId="2" w16cid:durableId="1071584986">
    <w:abstractNumId w:val="12"/>
  </w:num>
  <w:num w:numId="3" w16cid:durableId="693073553">
    <w:abstractNumId w:val="0"/>
  </w:num>
  <w:num w:numId="4" w16cid:durableId="1240825850">
    <w:abstractNumId w:val="7"/>
  </w:num>
  <w:num w:numId="5" w16cid:durableId="609122817">
    <w:abstractNumId w:val="15"/>
  </w:num>
  <w:num w:numId="6" w16cid:durableId="1695645138">
    <w:abstractNumId w:val="11"/>
  </w:num>
  <w:num w:numId="7" w16cid:durableId="1868984917">
    <w:abstractNumId w:val="5"/>
  </w:num>
  <w:num w:numId="8" w16cid:durableId="664625867">
    <w:abstractNumId w:val="10"/>
  </w:num>
  <w:num w:numId="9" w16cid:durableId="504200535">
    <w:abstractNumId w:val="9"/>
  </w:num>
  <w:num w:numId="10" w16cid:durableId="1344086005">
    <w:abstractNumId w:val="8"/>
  </w:num>
  <w:num w:numId="11" w16cid:durableId="983241675">
    <w:abstractNumId w:val="2"/>
  </w:num>
  <w:num w:numId="12" w16cid:durableId="930087000">
    <w:abstractNumId w:val="16"/>
  </w:num>
  <w:num w:numId="13" w16cid:durableId="34888245">
    <w:abstractNumId w:val="13"/>
  </w:num>
  <w:num w:numId="14" w16cid:durableId="2114664113">
    <w:abstractNumId w:val="1"/>
  </w:num>
  <w:num w:numId="15" w16cid:durableId="1050418628">
    <w:abstractNumId w:val="14"/>
  </w:num>
  <w:num w:numId="16" w16cid:durableId="1610350747">
    <w:abstractNumId w:val="6"/>
  </w:num>
  <w:num w:numId="17" w16cid:durableId="1833061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D2"/>
    <w:rsid w:val="0001622B"/>
    <w:rsid w:val="00017148"/>
    <w:rsid w:val="000272B7"/>
    <w:rsid w:val="0003110F"/>
    <w:rsid w:val="00045665"/>
    <w:rsid w:val="00063F18"/>
    <w:rsid w:val="000906F8"/>
    <w:rsid w:val="00090E5A"/>
    <w:rsid w:val="000A0AC8"/>
    <w:rsid w:val="000A2E00"/>
    <w:rsid w:val="000B7046"/>
    <w:rsid w:val="000D3021"/>
    <w:rsid w:val="000D3C64"/>
    <w:rsid w:val="000D61EE"/>
    <w:rsid w:val="000E0985"/>
    <w:rsid w:val="000E7716"/>
    <w:rsid w:val="000F3DE4"/>
    <w:rsid w:val="000F5615"/>
    <w:rsid w:val="00104115"/>
    <w:rsid w:val="00105FBC"/>
    <w:rsid w:val="0010732A"/>
    <w:rsid w:val="00122099"/>
    <w:rsid w:val="00122610"/>
    <w:rsid w:val="00124628"/>
    <w:rsid w:val="00131DBD"/>
    <w:rsid w:val="00144A22"/>
    <w:rsid w:val="00145337"/>
    <w:rsid w:val="0015321D"/>
    <w:rsid w:val="001750AB"/>
    <w:rsid w:val="0018393D"/>
    <w:rsid w:val="001851D9"/>
    <w:rsid w:val="001A3794"/>
    <w:rsid w:val="001B7B2C"/>
    <w:rsid w:val="001D29F8"/>
    <w:rsid w:val="001E7C2F"/>
    <w:rsid w:val="00202BB4"/>
    <w:rsid w:val="00211B7B"/>
    <w:rsid w:val="00226BD5"/>
    <w:rsid w:val="002420C3"/>
    <w:rsid w:val="00243AEB"/>
    <w:rsid w:val="002543C6"/>
    <w:rsid w:val="0027079D"/>
    <w:rsid w:val="00273320"/>
    <w:rsid w:val="002A4466"/>
    <w:rsid w:val="002A44D3"/>
    <w:rsid w:val="002B71A6"/>
    <w:rsid w:val="002C0708"/>
    <w:rsid w:val="002C3443"/>
    <w:rsid w:val="002D0ED2"/>
    <w:rsid w:val="002D246E"/>
    <w:rsid w:val="002D5113"/>
    <w:rsid w:val="002D5624"/>
    <w:rsid w:val="002D75E7"/>
    <w:rsid w:val="002D7E3E"/>
    <w:rsid w:val="002F3D09"/>
    <w:rsid w:val="002F4994"/>
    <w:rsid w:val="003151A0"/>
    <w:rsid w:val="00320126"/>
    <w:rsid w:val="00325F0E"/>
    <w:rsid w:val="0035792A"/>
    <w:rsid w:val="00361155"/>
    <w:rsid w:val="00371E72"/>
    <w:rsid w:val="0037712A"/>
    <w:rsid w:val="00391827"/>
    <w:rsid w:val="003A3698"/>
    <w:rsid w:val="003B6246"/>
    <w:rsid w:val="003D62CD"/>
    <w:rsid w:val="003E3A13"/>
    <w:rsid w:val="003E6459"/>
    <w:rsid w:val="003E76C0"/>
    <w:rsid w:val="00410E46"/>
    <w:rsid w:val="00414671"/>
    <w:rsid w:val="004241A8"/>
    <w:rsid w:val="00427112"/>
    <w:rsid w:val="00430989"/>
    <w:rsid w:val="00442A4C"/>
    <w:rsid w:val="0044652C"/>
    <w:rsid w:val="004605F2"/>
    <w:rsid w:val="0046664E"/>
    <w:rsid w:val="0047083E"/>
    <w:rsid w:val="00482530"/>
    <w:rsid w:val="004A7350"/>
    <w:rsid w:val="004D226B"/>
    <w:rsid w:val="004F12C7"/>
    <w:rsid w:val="00500093"/>
    <w:rsid w:val="00516332"/>
    <w:rsid w:val="00530B08"/>
    <w:rsid w:val="00533AD2"/>
    <w:rsid w:val="00561352"/>
    <w:rsid w:val="00562685"/>
    <w:rsid w:val="005651C5"/>
    <w:rsid w:val="00567407"/>
    <w:rsid w:val="00582744"/>
    <w:rsid w:val="005A7DC9"/>
    <w:rsid w:val="005B5DCB"/>
    <w:rsid w:val="005B5EB4"/>
    <w:rsid w:val="005D410A"/>
    <w:rsid w:val="006149F6"/>
    <w:rsid w:val="00621022"/>
    <w:rsid w:val="006245E4"/>
    <w:rsid w:val="00624EB6"/>
    <w:rsid w:val="006757BB"/>
    <w:rsid w:val="00676A7C"/>
    <w:rsid w:val="006874AE"/>
    <w:rsid w:val="006911B5"/>
    <w:rsid w:val="00695170"/>
    <w:rsid w:val="006E634B"/>
    <w:rsid w:val="006F1A97"/>
    <w:rsid w:val="00703BCC"/>
    <w:rsid w:val="00720D2B"/>
    <w:rsid w:val="0074317E"/>
    <w:rsid w:val="007550BA"/>
    <w:rsid w:val="0076222C"/>
    <w:rsid w:val="00773EF6"/>
    <w:rsid w:val="007858A5"/>
    <w:rsid w:val="00791E9E"/>
    <w:rsid w:val="00795D68"/>
    <w:rsid w:val="007A520B"/>
    <w:rsid w:val="007B3459"/>
    <w:rsid w:val="007B6978"/>
    <w:rsid w:val="007D05CB"/>
    <w:rsid w:val="007D6FDE"/>
    <w:rsid w:val="007E31BE"/>
    <w:rsid w:val="007F05DC"/>
    <w:rsid w:val="00806B78"/>
    <w:rsid w:val="00806FC3"/>
    <w:rsid w:val="00820E0B"/>
    <w:rsid w:val="00824C06"/>
    <w:rsid w:val="008308B4"/>
    <w:rsid w:val="008341A8"/>
    <w:rsid w:val="00861A0A"/>
    <w:rsid w:val="00887D50"/>
    <w:rsid w:val="00890E9E"/>
    <w:rsid w:val="00895EAB"/>
    <w:rsid w:val="008C5A62"/>
    <w:rsid w:val="008E0090"/>
    <w:rsid w:val="008F1798"/>
    <w:rsid w:val="00922A76"/>
    <w:rsid w:val="00942F22"/>
    <w:rsid w:val="00955A88"/>
    <w:rsid w:val="0096204E"/>
    <w:rsid w:val="00971BA0"/>
    <w:rsid w:val="00976C1A"/>
    <w:rsid w:val="009776E9"/>
    <w:rsid w:val="00990463"/>
    <w:rsid w:val="00991000"/>
    <w:rsid w:val="00995801"/>
    <w:rsid w:val="009C3B0C"/>
    <w:rsid w:val="009D3E8D"/>
    <w:rsid w:val="00A30F43"/>
    <w:rsid w:val="00A322A9"/>
    <w:rsid w:val="00A36530"/>
    <w:rsid w:val="00A4471A"/>
    <w:rsid w:val="00A62E99"/>
    <w:rsid w:val="00A63388"/>
    <w:rsid w:val="00A74AC7"/>
    <w:rsid w:val="00A81CB0"/>
    <w:rsid w:val="00A83229"/>
    <w:rsid w:val="00A96275"/>
    <w:rsid w:val="00A97DF4"/>
    <w:rsid w:val="00AC15EF"/>
    <w:rsid w:val="00AC2489"/>
    <w:rsid w:val="00AC348F"/>
    <w:rsid w:val="00AD5FA0"/>
    <w:rsid w:val="00AE2FF6"/>
    <w:rsid w:val="00B13B9E"/>
    <w:rsid w:val="00B260E9"/>
    <w:rsid w:val="00B271FA"/>
    <w:rsid w:val="00B27A84"/>
    <w:rsid w:val="00B358D2"/>
    <w:rsid w:val="00B43F9B"/>
    <w:rsid w:val="00B53720"/>
    <w:rsid w:val="00B6336C"/>
    <w:rsid w:val="00BC522C"/>
    <w:rsid w:val="00BF58A3"/>
    <w:rsid w:val="00C2254F"/>
    <w:rsid w:val="00C27B55"/>
    <w:rsid w:val="00C322AB"/>
    <w:rsid w:val="00C50CFC"/>
    <w:rsid w:val="00C51A56"/>
    <w:rsid w:val="00C53FA8"/>
    <w:rsid w:val="00C54AA3"/>
    <w:rsid w:val="00C55552"/>
    <w:rsid w:val="00C628A7"/>
    <w:rsid w:val="00C72FDD"/>
    <w:rsid w:val="00C9653E"/>
    <w:rsid w:val="00CA0E12"/>
    <w:rsid w:val="00CA71FE"/>
    <w:rsid w:val="00CB050D"/>
    <w:rsid w:val="00CB211A"/>
    <w:rsid w:val="00CB22D0"/>
    <w:rsid w:val="00CB5DD2"/>
    <w:rsid w:val="00CC7CBD"/>
    <w:rsid w:val="00CE016E"/>
    <w:rsid w:val="00CF4D28"/>
    <w:rsid w:val="00D6379B"/>
    <w:rsid w:val="00D91D50"/>
    <w:rsid w:val="00D929DF"/>
    <w:rsid w:val="00D935E8"/>
    <w:rsid w:val="00DA75A2"/>
    <w:rsid w:val="00DC6D56"/>
    <w:rsid w:val="00DC7B52"/>
    <w:rsid w:val="00DD2A72"/>
    <w:rsid w:val="00DF13FD"/>
    <w:rsid w:val="00E06D37"/>
    <w:rsid w:val="00E07D68"/>
    <w:rsid w:val="00E25A76"/>
    <w:rsid w:val="00E27EF6"/>
    <w:rsid w:val="00E53883"/>
    <w:rsid w:val="00E80114"/>
    <w:rsid w:val="00E85A65"/>
    <w:rsid w:val="00E87E29"/>
    <w:rsid w:val="00E94DDB"/>
    <w:rsid w:val="00EB018D"/>
    <w:rsid w:val="00EB0BB7"/>
    <w:rsid w:val="00EB3DEC"/>
    <w:rsid w:val="00EC3CA4"/>
    <w:rsid w:val="00EF62BA"/>
    <w:rsid w:val="00EF77AC"/>
    <w:rsid w:val="00F303A0"/>
    <w:rsid w:val="00F466E9"/>
    <w:rsid w:val="00F54C02"/>
    <w:rsid w:val="00F8161E"/>
    <w:rsid w:val="00F97860"/>
    <w:rsid w:val="00FA0BAA"/>
    <w:rsid w:val="00FA1109"/>
    <w:rsid w:val="00FB4D24"/>
    <w:rsid w:val="00FB5D8A"/>
    <w:rsid w:val="00FB7BE7"/>
    <w:rsid w:val="00FC6061"/>
    <w:rsid w:val="00FC66B9"/>
    <w:rsid w:val="00FD42A5"/>
    <w:rsid w:val="00FE0F49"/>
    <w:rsid w:val="00FE1B1D"/>
    <w:rsid w:val="00FE741E"/>
    <w:rsid w:val="00FF1E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533F"/>
  <w15:chartTrackingRefBased/>
  <w15:docId w15:val="{5B8E97C9-FF4F-41AF-B5CD-850F1EBC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52"/>
    <w:pPr>
      <w:spacing w:after="200" w:line="276" w:lineRule="auto"/>
      <w:jc w:val="both"/>
    </w:pPr>
    <w:rPr>
      <w:rFonts w:ascii="Calibri" w:hAnsi="Calibri"/>
      <w:kern w:val="0"/>
      <w:lang w:val="en-US"/>
      <w14:ligatures w14:val="none"/>
    </w:rPr>
  </w:style>
  <w:style w:type="paragraph" w:styleId="Heading1">
    <w:name w:val="heading 1"/>
    <w:basedOn w:val="Normal"/>
    <w:next w:val="Normal"/>
    <w:link w:val="Heading1Char"/>
    <w:uiPriority w:val="9"/>
    <w:qFormat/>
    <w:rsid w:val="00A83229"/>
    <w:pPr>
      <w:keepNext/>
      <w:keepLines/>
      <w:numPr>
        <w:numId w:val="11"/>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A83229"/>
    <w:pPr>
      <w:keepNext/>
      <w:keepLines/>
      <w:numPr>
        <w:ilvl w:val="1"/>
        <w:numId w:val="11"/>
      </w:numPr>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A83229"/>
    <w:pPr>
      <w:keepNext/>
      <w:keepLines/>
      <w:numPr>
        <w:ilvl w:val="2"/>
        <w:numId w:val="11"/>
      </w:numPr>
      <w:spacing w:before="160" w:after="80"/>
      <w:outlineLvl w:val="2"/>
    </w:pPr>
    <w:rPr>
      <w:rFonts w:eastAsiaTheme="majorEastAsia" w:cstheme="majorBidi"/>
      <w:szCs w:val="28"/>
    </w:rPr>
  </w:style>
  <w:style w:type="paragraph" w:styleId="Heading4">
    <w:name w:val="heading 4"/>
    <w:basedOn w:val="Normal"/>
    <w:next w:val="Normal"/>
    <w:link w:val="Heading4Char"/>
    <w:uiPriority w:val="9"/>
    <w:unhideWhenUsed/>
    <w:qFormat/>
    <w:rsid w:val="00A83229"/>
    <w:pPr>
      <w:keepNext/>
      <w:keepLines/>
      <w:numPr>
        <w:ilvl w:val="3"/>
        <w:numId w:val="11"/>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CB5DD2"/>
    <w:pPr>
      <w:keepNext/>
      <w:keepLines/>
      <w:numPr>
        <w:ilvl w:val="4"/>
        <w:numId w:val="1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DD2"/>
    <w:pPr>
      <w:keepNext/>
      <w:keepLines/>
      <w:numPr>
        <w:ilvl w:val="5"/>
        <w:numId w:val="1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DD2"/>
    <w:pPr>
      <w:keepNext/>
      <w:keepLines/>
      <w:numPr>
        <w:ilvl w:val="6"/>
        <w:numId w:val="1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DD2"/>
    <w:pPr>
      <w:keepNext/>
      <w:keepLines/>
      <w:numPr>
        <w:ilvl w:val="7"/>
        <w:numId w:val="1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DD2"/>
    <w:pPr>
      <w:keepNext/>
      <w:keepLines/>
      <w:numPr>
        <w:ilvl w:val="8"/>
        <w:numId w:val="1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29"/>
    <w:rPr>
      <w:rFonts w:ascii="Calibri" w:eastAsiaTheme="majorEastAsia" w:hAnsi="Calibri" w:cstheme="majorBidi"/>
      <w:b/>
      <w:kern w:val="0"/>
      <w:szCs w:val="40"/>
      <w:lang w:val="en-US"/>
      <w14:ligatures w14:val="none"/>
    </w:rPr>
  </w:style>
  <w:style w:type="character" w:customStyle="1" w:styleId="Heading2Char">
    <w:name w:val="Heading 2 Char"/>
    <w:basedOn w:val="DefaultParagraphFont"/>
    <w:link w:val="Heading2"/>
    <w:uiPriority w:val="9"/>
    <w:rsid w:val="00A83229"/>
    <w:rPr>
      <w:rFonts w:ascii="Calibri" w:eastAsiaTheme="majorEastAsia" w:hAnsi="Calibri" w:cstheme="majorBidi"/>
      <w:kern w:val="0"/>
      <w:szCs w:val="32"/>
      <w:lang w:val="en-US"/>
      <w14:ligatures w14:val="none"/>
    </w:rPr>
  </w:style>
  <w:style w:type="character" w:customStyle="1" w:styleId="Heading3Char">
    <w:name w:val="Heading 3 Char"/>
    <w:basedOn w:val="DefaultParagraphFont"/>
    <w:link w:val="Heading3"/>
    <w:uiPriority w:val="9"/>
    <w:rsid w:val="00A83229"/>
    <w:rPr>
      <w:rFonts w:ascii="Calibri" w:eastAsiaTheme="majorEastAsia" w:hAnsi="Calibri" w:cstheme="majorBidi"/>
      <w:kern w:val="0"/>
      <w:szCs w:val="28"/>
      <w:lang w:val="en-US"/>
      <w14:ligatures w14:val="none"/>
    </w:rPr>
  </w:style>
  <w:style w:type="character" w:customStyle="1" w:styleId="Heading4Char">
    <w:name w:val="Heading 4 Char"/>
    <w:basedOn w:val="DefaultParagraphFont"/>
    <w:link w:val="Heading4"/>
    <w:uiPriority w:val="9"/>
    <w:rsid w:val="00A83229"/>
    <w:rPr>
      <w:rFonts w:ascii="Calibri" w:eastAsiaTheme="majorEastAsia" w:hAnsi="Calibri" w:cstheme="majorBidi"/>
      <w:i/>
      <w:iCs/>
      <w:kern w:val="0"/>
      <w:lang w:val="en-US"/>
      <w14:ligatures w14:val="none"/>
    </w:rPr>
  </w:style>
  <w:style w:type="character" w:customStyle="1" w:styleId="Heading5Char">
    <w:name w:val="Heading 5 Char"/>
    <w:basedOn w:val="DefaultParagraphFont"/>
    <w:link w:val="Heading5"/>
    <w:uiPriority w:val="9"/>
    <w:semiHidden/>
    <w:rsid w:val="00CB5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DD2"/>
    <w:rPr>
      <w:rFonts w:eastAsiaTheme="majorEastAsia" w:cstheme="majorBidi"/>
      <w:color w:val="272727" w:themeColor="text1" w:themeTint="D8"/>
    </w:rPr>
  </w:style>
  <w:style w:type="paragraph" w:styleId="Title">
    <w:name w:val="Title"/>
    <w:basedOn w:val="Normal"/>
    <w:next w:val="Normal"/>
    <w:link w:val="TitleChar"/>
    <w:uiPriority w:val="10"/>
    <w:qFormat/>
    <w:rsid w:val="0018393D"/>
    <w:pPr>
      <w:spacing w:after="8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18393D"/>
    <w:rPr>
      <w:rFonts w:ascii="Calibri" w:eastAsiaTheme="majorEastAsia" w:hAnsi="Calibri" w:cstheme="majorBidi"/>
      <w:spacing w:val="-10"/>
      <w:kern w:val="28"/>
      <w:sz w:val="40"/>
      <w:szCs w:val="56"/>
      <w:lang w:val="en-US"/>
      <w14:ligatures w14:val="none"/>
    </w:rPr>
  </w:style>
  <w:style w:type="paragraph" w:styleId="Subtitle">
    <w:name w:val="Subtitle"/>
    <w:basedOn w:val="Normal"/>
    <w:next w:val="Normal"/>
    <w:link w:val="SubtitleChar"/>
    <w:uiPriority w:val="11"/>
    <w:qFormat/>
    <w:rsid w:val="00CB5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DD2"/>
    <w:pPr>
      <w:spacing w:before="160"/>
      <w:jc w:val="center"/>
    </w:pPr>
    <w:rPr>
      <w:i/>
      <w:iCs/>
      <w:color w:val="404040" w:themeColor="text1" w:themeTint="BF"/>
    </w:rPr>
  </w:style>
  <w:style w:type="character" w:customStyle="1" w:styleId="QuoteChar">
    <w:name w:val="Quote Char"/>
    <w:basedOn w:val="DefaultParagraphFont"/>
    <w:link w:val="Quote"/>
    <w:uiPriority w:val="29"/>
    <w:rsid w:val="00CB5DD2"/>
    <w:rPr>
      <w:i/>
      <w:iCs/>
      <w:color w:val="404040" w:themeColor="text1" w:themeTint="BF"/>
    </w:rPr>
  </w:style>
  <w:style w:type="paragraph" w:styleId="ListParagraph">
    <w:name w:val="List Paragraph"/>
    <w:basedOn w:val="Normal"/>
    <w:uiPriority w:val="34"/>
    <w:qFormat/>
    <w:rsid w:val="00CB5DD2"/>
    <w:pPr>
      <w:ind w:left="720"/>
      <w:contextualSpacing/>
    </w:pPr>
  </w:style>
  <w:style w:type="character" w:styleId="IntenseEmphasis">
    <w:name w:val="Intense Emphasis"/>
    <w:basedOn w:val="DefaultParagraphFont"/>
    <w:uiPriority w:val="21"/>
    <w:qFormat/>
    <w:rsid w:val="00CB5DD2"/>
    <w:rPr>
      <w:i/>
      <w:iCs/>
      <w:color w:val="0F4761" w:themeColor="accent1" w:themeShade="BF"/>
    </w:rPr>
  </w:style>
  <w:style w:type="paragraph" w:styleId="IntenseQuote">
    <w:name w:val="Intense Quote"/>
    <w:basedOn w:val="Normal"/>
    <w:next w:val="Normal"/>
    <w:link w:val="IntenseQuoteChar"/>
    <w:uiPriority w:val="30"/>
    <w:qFormat/>
    <w:rsid w:val="00CB5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DD2"/>
    <w:rPr>
      <w:i/>
      <w:iCs/>
      <w:color w:val="0F4761" w:themeColor="accent1" w:themeShade="BF"/>
    </w:rPr>
  </w:style>
  <w:style w:type="character" w:styleId="IntenseReference">
    <w:name w:val="Intense Reference"/>
    <w:basedOn w:val="DefaultParagraphFont"/>
    <w:uiPriority w:val="32"/>
    <w:qFormat/>
    <w:rsid w:val="00CB5DD2"/>
    <w:rPr>
      <w:b/>
      <w:bCs/>
      <w:smallCaps/>
      <w:color w:val="0F4761" w:themeColor="accent1" w:themeShade="BF"/>
      <w:spacing w:val="5"/>
    </w:rPr>
  </w:style>
  <w:style w:type="character" w:styleId="CommentReference">
    <w:name w:val="annotation reference"/>
    <w:basedOn w:val="DefaultParagraphFont"/>
    <w:uiPriority w:val="99"/>
    <w:semiHidden/>
    <w:unhideWhenUsed/>
    <w:rsid w:val="00CB5DD2"/>
    <w:rPr>
      <w:sz w:val="16"/>
      <w:szCs w:val="16"/>
    </w:rPr>
  </w:style>
  <w:style w:type="paragraph" w:styleId="CommentText">
    <w:name w:val="annotation text"/>
    <w:basedOn w:val="Normal"/>
    <w:link w:val="CommentTextChar"/>
    <w:uiPriority w:val="99"/>
    <w:unhideWhenUsed/>
    <w:rsid w:val="00CB5DD2"/>
    <w:pPr>
      <w:spacing w:line="240" w:lineRule="auto"/>
    </w:pPr>
    <w:rPr>
      <w:sz w:val="20"/>
      <w:szCs w:val="20"/>
    </w:rPr>
  </w:style>
  <w:style w:type="character" w:customStyle="1" w:styleId="CommentTextChar">
    <w:name w:val="Comment Text Char"/>
    <w:basedOn w:val="DefaultParagraphFont"/>
    <w:link w:val="CommentText"/>
    <w:uiPriority w:val="99"/>
    <w:rsid w:val="00CB5DD2"/>
    <w:rPr>
      <w:kern w:val="0"/>
      <w:sz w:val="20"/>
      <w:szCs w:val="20"/>
      <w:lang w:val="en-US"/>
      <w14:ligatures w14:val="none"/>
    </w:rPr>
  </w:style>
  <w:style w:type="character" w:styleId="Hyperlink">
    <w:name w:val="Hyperlink"/>
    <w:basedOn w:val="DefaultParagraphFont"/>
    <w:uiPriority w:val="99"/>
    <w:unhideWhenUsed/>
    <w:rsid w:val="00CB5DD2"/>
    <w:rPr>
      <w:color w:val="467886" w:themeColor="hyperlink"/>
      <w:u w:val="single"/>
    </w:rPr>
  </w:style>
  <w:style w:type="table" w:styleId="TableGrid">
    <w:name w:val="Table Grid"/>
    <w:basedOn w:val="TableNormal"/>
    <w:uiPriority w:val="59"/>
    <w:rsid w:val="00CB5DD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42A4C"/>
    <w:pPr>
      <w:spacing w:line="240" w:lineRule="auto"/>
    </w:pPr>
    <w:rPr>
      <w:i/>
      <w:iCs/>
      <w:color w:val="0E2841" w:themeColor="text2"/>
      <w:sz w:val="18"/>
      <w:szCs w:val="18"/>
    </w:rPr>
  </w:style>
  <w:style w:type="paragraph" w:styleId="Header">
    <w:name w:val="header"/>
    <w:basedOn w:val="Normal"/>
    <w:link w:val="HeaderChar"/>
    <w:uiPriority w:val="99"/>
    <w:unhideWhenUsed/>
    <w:rsid w:val="00791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E9E"/>
    <w:rPr>
      <w:rFonts w:ascii="Calibri" w:hAnsi="Calibri"/>
      <w:kern w:val="0"/>
      <w:lang w:val="en-US"/>
      <w14:ligatures w14:val="none"/>
    </w:rPr>
  </w:style>
  <w:style w:type="paragraph" w:styleId="Footer">
    <w:name w:val="footer"/>
    <w:basedOn w:val="Normal"/>
    <w:link w:val="FooterChar"/>
    <w:uiPriority w:val="99"/>
    <w:unhideWhenUsed/>
    <w:rsid w:val="00791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E9E"/>
    <w:rPr>
      <w:rFonts w:ascii="Calibri"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0584">
      <w:bodyDiv w:val="1"/>
      <w:marLeft w:val="0"/>
      <w:marRight w:val="0"/>
      <w:marTop w:val="0"/>
      <w:marBottom w:val="0"/>
      <w:divBdr>
        <w:top w:val="none" w:sz="0" w:space="0" w:color="auto"/>
        <w:left w:val="none" w:sz="0" w:space="0" w:color="auto"/>
        <w:bottom w:val="none" w:sz="0" w:space="0" w:color="auto"/>
        <w:right w:val="none" w:sz="0" w:space="0" w:color="auto"/>
      </w:divBdr>
    </w:div>
    <w:div w:id="20058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mailto:gdfmpd@worldban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1BB9D-0B28-45D6-AED6-F777F248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11296</TotalTime>
  <Pages>19</Pages>
  <Words>5633</Words>
  <Characters>32109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Blanchard</dc:creator>
  <cp:keywords/>
  <dc:description/>
  <cp:lastModifiedBy>Paul Baptiste Blanchard</cp:lastModifiedBy>
  <cp:revision>71</cp:revision>
  <dcterms:created xsi:type="dcterms:W3CDTF">2025-02-14T02:18:00Z</dcterms:created>
  <dcterms:modified xsi:type="dcterms:W3CDTF">2025-09-30T08:25:00Z</dcterms:modified>
</cp:coreProperties>
</file>